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7430406C" w:rsidR="00E90E49" w:rsidRPr="00CE0424" w:rsidRDefault="009A60E3" w:rsidP="00E35559">
      <w:pPr>
        <w:pStyle w:val="3GPPHeader"/>
        <w:spacing w:after="60"/>
        <w:rPr>
          <w:sz w:val="32"/>
          <w:szCs w:val="32"/>
          <w:highlight w:val="yellow"/>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9bis-e</w:t>
      </w:r>
      <w:r w:rsidRPr="00CE0424" w:rsidDel="009A60E3">
        <w:t xml:space="preserve"> </w:t>
      </w:r>
      <w:r w:rsidR="00E90E49" w:rsidRPr="00CE0424">
        <w:tab/>
      </w:r>
      <w:r w:rsidR="0045759A">
        <w:rPr>
          <w:sz w:val="32"/>
          <w:szCs w:val="32"/>
        </w:rPr>
        <w:t>TDoc R2-2003360</w:t>
      </w:r>
    </w:p>
    <w:p w14:paraId="0B9CA2F7" w14:textId="3A45905D" w:rsidR="00E90E49" w:rsidRPr="00CE0424" w:rsidRDefault="00862DCA" w:rsidP="00311702">
      <w:pPr>
        <w:pStyle w:val="3GPPHeader"/>
      </w:pPr>
      <w:r>
        <w:rPr>
          <w:rFonts w:cs="Arial"/>
          <w:noProof/>
          <w:szCs w:val="24"/>
          <w:lang w:val="en-US"/>
        </w:rPr>
        <w:t>Online</w:t>
      </w:r>
      <w:r w:rsidRPr="00A778AB">
        <w:rPr>
          <w:rFonts w:cs="Arial"/>
          <w:noProof/>
          <w:szCs w:val="24"/>
          <w:lang w:val="en-US"/>
        </w:rPr>
        <w:t xml:space="preserve">, </w:t>
      </w:r>
      <w:r>
        <w:rPr>
          <w:rFonts w:cs="Arial"/>
          <w:noProof/>
          <w:szCs w:val="24"/>
          <w:lang w:val="en-US"/>
        </w:rPr>
        <w:t>April</w:t>
      </w:r>
      <w:r w:rsidRPr="00A778AB">
        <w:rPr>
          <w:rFonts w:cs="Arial"/>
          <w:noProof/>
          <w:szCs w:val="24"/>
          <w:lang w:val="en-US"/>
        </w:rPr>
        <w:t xml:space="preserve"> 2</w:t>
      </w:r>
      <w:r>
        <w:rPr>
          <w:rFonts w:cs="Arial"/>
          <w:noProof/>
          <w:szCs w:val="24"/>
          <w:lang w:val="en-US"/>
        </w:rPr>
        <w:t>0</w:t>
      </w:r>
      <w:r w:rsidRPr="00A778AB">
        <w:rPr>
          <w:rFonts w:cs="Arial"/>
          <w:noProof/>
          <w:szCs w:val="24"/>
          <w:vertAlign w:val="superscript"/>
          <w:lang w:val="en-US"/>
        </w:rPr>
        <w:t>th</w:t>
      </w:r>
      <w:r w:rsidR="00280EBE">
        <w:rPr>
          <w:rFonts w:cs="Arial"/>
          <w:noProof/>
          <w:szCs w:val="24"/>
          <w:vertAlign w:val="superscript"/>
          <w:lang w:val="en-US"/>
        </w:rPr>
        <w:t xml:space="preserve"> </w:t>
      </w:r>
      <w:r w:rsidRPr="00A778AB">
        <w:rPr>
          <w:rFonts w:cs="Arial"/>
          <w:noProof/>
          <w:szCs w:val="24"/>
          <w:lang w:val="en-US"/>
        </w:rPr>
        <w:t xml:space="preserve">– </w:t>
      </w:r>
      <w:r>
        <w:rPr>
          <w:rFonts w:cs="Arial"/>
          <w:noProof/>
          <w:szCs w:val="24"/>
          <w:lang w:val="en-US"/>
        </w:rPr>
        <w:t>April 30</w:t>
      </w:r>
      <w:r w:rsidRPr="00A778AB">
        <w:rPr>
          <w:rFonts w:cs="Arial"/>
          <w:noProof/>
          <w:szCs w:val="24"/>
          <w:vertAlign w:val="superscript"/>
          <w:lang w:val="en-US"/>
        </w:rPr>
        <w:t>th</w:t>
      </w:r>
      <w:r w:rsidRPr="00A778AB">
        <w:rPr>
          <w:rFonts w:cs="Arial"/>
          <w:noProof/>
          <w:szCs w:val="24"/>
          <w:lang w:val="en-US"/>
        </w:rPr>
        <w:t xml:space="preserve"> 2020</w:t>
      </w:r>
    </w:p>
    <w:p w14:paraId="13249149" w14:textId="77777777" w:rsidR="00E90E49" w:rsidRPr="00CE0424" w:rsidRDefault="00E90E49" w:rsidP="00357380">
      <w:pPr>
        <w:pStyle w:val="3GPPHeader"/>
      </w:pPr>
    </w:p>
    <w:p w14:paraId="7CE64FCB" w14:textId="510318F3"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D8298E">
        <w:rPr>
          <w:sz w:val="22"/>
          <w:szCs w:val="22"/>
          <w:lang w:val="sv-SE"/>
        </w:rPr>
        <w:t>6.1.8</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4D916A1E" w:rsidR="00E90E49" w:rsidRPr="00CE0424" w:rsidRDefault="003D3C45" w:rsidP="00311702">
      <w:pPr>
        <w:pStyle w:val="3GPPHeader"/>
        <w:rPr>
          <w:sz w:val="22"/>
          <w:szCs w:val="22"/>
        </w:rPr>
      </w:pPr>
      <w:r>
        <w:rPr>
          <w:sz w:val="22"/>
          <w:szCs w:val="22"/>
        </w:rPr>
        <w:t>Title:</w:t>
      </w:r>
      <w:r w:rsidR="00E90E49" w:rsidRPr="00CE0424">
        <w:rPr>
          <w:sz w:val="22"/>
          <w:szCs w:val="22"/>
        </w:rPr>
        <w:tab/>
      </w:r>
      <w:r w:rsidR="002B2CD3">
        <w:rPr>
          <w:sz w:val="22"/>
          <w:szCs w:val="22"/>
        </w:rPr>
        <w:t xml:space="preserve">Rel-15 capabilities to </w:t>
      </w:r>
      <w:r w:rsidR="002B34E3">
        <w:rPr>
          <w:sz w:val="22"/>
          <w:szCs w:val="22"/>
        </w:rPr>
        <w:t xml:space="preserve">be </w:t>
      </w:r>
      <w:r w:rsidR="002B2CD3">
        <w:rPr>
          <w:sz w:val="22"/>
          <w:szCs w:val="22"/>
        </w:rPr>
        <w:t>support</w:t>
      </w:r>
      <w:r w:rsidR="002B34E3">
        <w:rPr>
          <w:sz w:val="22"/>
          <w:szCs w:val="22"/>
        </w:rPr>
        <w:t>ed</w:t>
      </w:r>
      <w:r w:rsidR="002B2CD3">
        <w:rPr>
          <w:sz w:val="22"/>
          <w:szCs w:val="22"/>
        </w:rPr>
        <w:t xml:space="preserve"> </w:t>
      </w:r>
      <w:r w:rsidR="002B34E3">
        <w:rPr>
          <w:sz w:val="22"/>
          <w:szCs w:val="22"/>
        </w:rPr>
        <w:t xml:space="preserve">by </w:t>
      </w:r>
      <w:r w:rsidR="002B2CD3">
        <w:rPr>
          <w:sz w:val="22"/>
          <w:szCs w:val="22"/>
        </w:rPr>
        <w:t>IAB-MT</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011DA133" w14:textId="237CBB2E" w:rsidR="00477768" w:rsidRDefault="00CC0FF5" w:rsidP="00CE0424">
      <w:pPr>
        <w:pStyle w:val="BodyText"/>
      </w:pPr>
      <w:r>
        <w:t xml:space="preserve">In the </w:t>
      </w:r>
      <w:r w:rsidR="005E2E04">
        <w:t xml:space="preserve">RAN#87e, </w:t>
      </w:r>
      <w:r w:rsidR="009416C5">
        <w:t>there was a discussion about the Release 15 UE features/capabilities which should also be mandatory for the IAB-MT.</w:t>
      </w:r>
    </w:p>
    <w:p w14:paraId="032597D3" w14:textId="4AE297E5" w:rsidR="000B6B3F" w:rsidRDefault="000B6B3F" w:rsidP="00CE0424">
      <w:pPr>
        <w:pStyle w:val="BodyText"/>
      </w:pPr>
      <w:r>
        <w:t xml:space="preserve">The outcome of the RAN plenary was the following: </w:t>
      </w:r>
    </w:p>
    <w:p w14:paraId="1B34FBC9" w14:textId="77777777" w:rsidR="008148A0" w:rsidRDefault="000B6B3F" w:rsidP="000B6B3F">
      <w:pPr>
        <w:pStyle w:val="BodyText"/>
        <w:numPr>
          <w:ilvl w:val="0"/>
          <w:numId w:val="23"/>
        </w:numPr>
      </w:pPr>
      <w:r>
        <w:t>RAN WGs to investigate which of the mandatory Rel-15 UE features (as defined in TR 38.822) can be optional for</w:t>
      </w:r>
      <w:r w:rsidR="008148A0">
        <w:t xml:space="preserve"> </w:t>
      </w:r>
      <w:r>
        <w:t>basic operation of (and if found useful, for different classes of IAB-MTs as defined by RAN4).</w:t>
      </w:r>
    </w:p>
    <w:p w14:paraId="04292A1A" w14:textId="5AAC0E02" w:rsidR="000B6B3F" w:rsidRDefault="000B6B3F" w:rsidP="000B6B3F">
      <w:pPr>
        <w:pStyle w:val="BodyText"/>
        <w:numPr>
          <w:ilvl w:val="0"/>
          <w:numId w:val="23"/>
        </w:numPr>
      </w:pPr>
      <w:r>
        <w:t>RAN WGs should strive to minimize specification impact.</w:t>
      </w:r>
    </w:p>
    <w:p w14:paraId="63058963" w14:textId="77777777" w:rsidR="001339AE" w:rsidRDefault="001339AE" w:rsidP="00DB1406">
      <w:pPr>
        <w:pStyle w:val="BodyText"/>
      </w:pPr>
    </w:p>
    <w:p w14:paraId="1E29A836" w14:textId="7D528D59" w:rsidR="00DB1406" w:rsidRDefault="009949C5" w:rsidP="00DB1406">
      <w:pPr>
        <w:pStyle w:val="BodyText"/>
      </w:pPr>
      <w:r>
        <w:t xml:space="preserve">On the other hand, </w:t>
      </w:r>
      <w:r w:rsidR="008148A0">
        <w:t xml:space="preserve">it was not possible to agree </w:t>
      </w:r>
      <w:r w:rsidR="00B06A22">
        <w:t xml:space="preserve">a consensus </w:t>
      </w:r>
      <w:r w:rsidR="008148A0">
        <w:t xml:space="preserve">on </w:t>
      </w:r>
      <w:r w:rsidR="00DB1406">
        <w:t>the following:</w:t>
      </w:r>
    </w:p>
    <w:p w14:paraId="421690B1" w14:textId="015BCCAC" w:rsidR="00DB1406" w:rsidRDefault="00DB1406" w:rsidP="00DB1406">
      <w:pPr>
        <w:pStyle w:val="BodyText"/>
        <w:numPr>
          <w:ilvl w:val="0"/>
          <w:numId w:val="23"/>
        </w:numPr>
      </w:pPr>
      <w:r>
        <w:t>IAB-MTs do not need to support all mandatory Rel-15 UE features (as defined in TR 38.822).</w:t>
      </w:r>
    </w:p>
    <w:p w14:paraId="65772D18" w14:textId="56E7CE43" w:rsidR="00966E8E" w:rsidRDefault="00B06A22" w:rsidP="00966E8E">
      <w:pPr>
        <w:pStyle w:val="BodyText"/>
      </w:pPr>
      <w:r>
        <w:t>This implies that</w:t>
      </w:r>
      <w:r w:rsidR="00183D52">
        <w:t xml:space="preserve"> it cannot be assumed that IAB-MTs will </w:t>
      </w:r>
      <w:r w:rsidR="00C67491">
        <w:t xml:space="preserve">or will not </w:t>
      </w:r>
      <w:r w:rsidR="00183D52">
        <w:t>support all of the mandatory Rel-15 UE features.</w:t>
      </w:r>
    </w:p>
    <w:p w14:paraId="5C94BA5E" w14:textId="3B3EE14D" w:rsidR="008D4A0E" w:rsidRDefault="00EA424A" w:rsidP="00966E8E">
      <w:pPr>
        <w:pStyle w:val="BodyText"/>
      </w:pPr>
      <w:r>
        <w:t>During the plenary discussions, it was highlighted by network vendors</w:t>
      </w:r>
      <w:r w:rsidR="00F12D86">
        <w:t xml:space="preserve"> that </w:t>
      </w:r>
      <w:r w:rsidR="008279DE">
        <w:t xml:space="preserve">it is common practice that </w:t>
      </w:r>
      <w:r w:rsidR="008D4A0E">
        <w:t xml:space="preserve">the </w:t>
      </w:r>
      <w:r w:rsidR="00025173">
        <w:t xml:space="preserve">network node </w:t>
      </w:r>
      <w:r w:rsidR="008D4A0E">
        <w:t xml:space="preserve">capabilities and features </w:t>
      </w:r>
      <w:r w:rsidR="00025173">
        <w:t xml:space="preserve">are </w:t>
      </w:r>
      <w:r w:rsidR="008D4A0E">
        <w:t>discussed and agreed with the operators</w:t>
      </w:r>
      <w:r w:rsidR="009F7145">
        <w:t xml:space="preserve"> </w:t>
      </w:r>
      <w:r w:rsidR="00041999">
        <w:t xml:space="preserve">with the </w:t>
      </w:r>
      <w:r w:rsidR="009F7145">
        <w:t>except</w:t>
      </w:r>
      <w:r w:rsidR="00041999">
        <w:t xml:space="preserve">ion of </w:t>
      </w:r>
      <w:r w:rsidR="009F7145">
        <w:t xml:space="preserve">the very “basic” </w:t>
      </w:r>
      <w:r w:rsidR="00AA4888">
        <w:t xml:space="preserve">or </w:t>
      </w:r>
      <w:r w:rsidR="00CB21E3">
        <w:t xml:space="preserve">essential </w:t>
      </w:r>
      <w:r w:rsidR="009F7145">
        <w:t xml:space="preserve">features e.g. random access </w:t>
      </w:r>
      <w:r w:rsidR="00C86074">
        <w:t xml:space="preserve">support </w:t>
      </w:r>
      <w:r w:rsidR="009F7145">
        <w:t xml:space="preserve">which, without them, the system cannot operate. </w:t>
      </w:r>
      <w:r w:rsidR="00661014">
        <w:t>In this document we consider a feature "</w:t>
      </w:r>
      <w:r w:rsidR="00D30BC2">
        <w:t>essential/basic</w:t>
      </w:r>
      <w:r w:rsidR="00661014">
        <w:t xml:space="preserve">" if it is required to bring the IAB node to RRC_CONNECTED at power on. </w:t>
      </w:r>
    </w:p>
    <w:p w14:paraId="20C5B159" w14:textId="71EDC494" w:rsidR="00966E8E" w:rsidRDefault="00966E8E" w:rsidP="00966E8E">
      <w:pPr>
        <w:pStyle w:val="BodyText"/>
      </w:pPr>
      <w:r>
        <w:t xml:space="preserve">This document discusses the </w:t>
      </w:r>
      <w:r w:rsidR="00D509B5">
        <w:t xml:space="preserve">RAN2 </w:t>
      </w:r>
      <w:r w:rsidR="00EA424A">
        <w:t xml:space="preserve">capabilities </w:t>
      </w:r>
      <w:r w:rsidR="00D509B5">
        <w:t>which are needed for the basic operation of IAB-MTs</w:t>
      </w:r>
      <w:r w:rsidR="00910A27">
        <w:t>,</w:t>
      </w:r>
      <w:r w:rsidR="00D509B5">
        <w:t xml:space="preserve"> i.e. those features which, without them, the system </w:t>
      </w:r>
      <w:r w:rsidR="00F54884">
        <w:t>can</w:t>
      </w:r>
      <w:r w:rsidR="00D509B5">
        <w:t>not operate.</w:t>
      </w:r>
      <w:r w:rsidR="00670DD3">
        <w:t xml:space="preserve"> On the other hand, this document does not discuss capability signalling. If a Rel-15 UE mandatory feature </w:t>
      </w:r>
      <w:r w:rsidR="002B274A">
        <w:t xml:space="preserve">without capability </w:t>
      </w:r>
      <w:r w:rsidR="00670DD3">
        <w:t xml:space="preserve">is not needed for Rel-16 IAB-MT, </w:t>
      </w:r>
      <w:r w:rsidR="00F013E7">
        <w:t xml:space="preserve">a capability indicator can be introduced in Release 16 for IABs for that concrete feature. Thus, </w:t>
      </w:r>
      <w:r w:rsidR="0029438D">
        <w:t>whether a Rel-15 UE feature has a capability indicator or not is</w:t>
      </w:r>
      <w:r w:rsidR="007A44E8">
        <w:t>,</w:t>
      </w:r>
      <w:r w:rsidR="0029438D">
        <w:t xml:space="preserve"> in our opinion</w:t>
      </w:r>
      <w:r w:rsidR="007A44E8">
        <w:t xml:space="preserve">, </w:t>
      </w:r>
      <w:r w:rsidR="0029438D">
        <w:t xml:space="preserve">irrelevant for </w:t>
      </w:r>
      <w:r w:rsidR="00EC5629">
        <w:t>this</w:t>
      </w:r>
      <w:r w:rsidR="0029438D">
        <w:t xml:space="preserve"> discussion.</w:t>
      </w:r>
    </w:p>
    <w:p w14:paraId="68BDDAD8" w14:textId="0AEBE87F" w:rsidR="004000E8" w:rsidRDefault="00230D18" w:rsidP="00CE0424">
      <w:pPr>
        <w:pStyle w:val="Heading1"/>
      </w:pPr>
      <w:bookmarkStart w:id="0" w:name="_Ref178064866"/>
      <w:r>
        <w:t>2</w:t>
      </w:r>
      <w:r>
        <w:tab/>
      </w:r>
      <w:r w:rsidR="004000E8" w:rsidRPr="00CE0424">
        <w:t>Discussion</w:t>
      </w:r>
      <w:bookmarkEnd w:id="0"/>
    </w:p>
    <w:p w14:paraId="4A8368F5" w14:textId="32356D7B" w:rsidR="00661D01" w:rsidRDefault="009932A4" w:rsidP="00661D01">
      <w:pPr>
        <w:pStyle w:val="BodyText"/>
      </w:pPr>
      <w:r>
        <w:t xml:space="preserve">The </w:t>
      </w:r>
      <w:r w:rsidR="004E5B9B">
        <w:t xml:space="preserve">Annex section contains a digested </w:t>
      </w:r>
      <w:r w:rsidR="007A505D">
        <w:t>version of all the capabilities and features outlined in TR 38.822. Only the mandatory L2 features are listed</w:t>
      </w:r>
      <w:r w:rsidR="002669E2">
        <w:t xml:space="preserve"> in the annex</w:t>
      </w:r>
      <w:r w:rsidR="007A505D">
        <w:t xml:space="preserve">. </w:t>
      </w:r>
      <w:r w:rsidR="00661D01">
        <w:t>As indicated above, RAN2 task is to identify capabilities for IAB-MTs</w:t>
      </w:r>
      <w:r w:rsidR="00B86495">
        <w:t>,</w:t>
      </w:r>
      <w:r w:rsidR="00661D01">
        <w:t xml:space="preserve"> which are needed for the basic operation of IAB-MTs i.e. those features which, without them, the system cannot operate</w:t>
      </w:r>
      <w:r w:rsidR="00A12F79">
        <w:t xml:space="preserve"> in a basic mode</w:t>
      </w:r>
      <w:r w:rsidR="00661D01">
        <w:t>.</w:t>
      </w:r>
    </w:p>
    <w:p w14:paraId="78D08EE3" w14:textId="343928D2" w:rsidR="00567A4F" w:rsidRDefault="00C30A8F" w:rsidP="00567A4F">
      <w:pPr>
        <w:pStyle w:val="Heading2"/>
      </w:pPr>
      <w:r>
        <w:t>2.1</w:t>
      </w:r>
      <w:r>
        <w:tab/>
      </w:r>
      <w:r w:rsidR="00567A4F">
        <w:t>Wide-area IAB nodes</w:t>
      </w:r>
    </w:p>
    <w:p w14:paraId="12E897DF" w14:textId="618DB1EE" w:rsidR="00FE2E83" w:rsidRPr="00FE2E83" w:rsidRDefault="008A2AC3" w:rsidP="00DC734D">
      <w:pPr>
        <w:pStyle w:val="BodyText"/>
        <w:rPr>
          <w:i/>
          <w:iCs/>
        </w:rPr>
      </w:pPr>
      <w:r>
        <w:t xml:space="preserve">Wide-area IAB nodes </w:t>
      </w:r>
      <w:r w:rsidR="00DD3FC4">
        <w:t xml:space="preserve">will most </w:t>
      </w:r>
      <w:r w:rsidR="000A7580">
        <w:t xml:space="preserve">likely have similar properties as wide are base station and </w:t>
      </w:r>
      <w:r w:rsidR="00DD115E">
        <w:t>that</w:t>
      </w:r>
      <w:r w:rsidR="000A7580">
        <w:t xml:space="preserve"> is normally associated with macro type of deployment under operator control and planned.</w:t>
      </w:r>
    </w:p>
    <w:p w14:paraId="5D6B40AA" w14:textId="7854D625" w:rsidR="006C0176" w:rsidRDefault="005638D5" w:rsidP="00FE2E83">
      <w:pPr>
        <w:pStyle w:val="Heading3"/>
      </w:pPr>
      <w:r>
        <w:lastRenderedPageBreak/>
        <w:t>2.1.1</w:t>
      </w:r>
      <w:r>
        <w:tab/>
      </w:r>
      <w:r w:rsidR="006C0176">
        <w:t>Feature</w:t>
      </w:r>
      <w:r>
        <w:t xml:space="preserve"> capabilities</w:t>
      </w:r>
    </w:p>
    <w:p w14:paraId="06871C7F" w14:textId="3637936C" w:rsidR="00B26127" w:rsidRDefault="00B26127" w:rsidP="00096F72">
      <w:pPr>
        <w:pStyle w:val="Heading4"/>
      </w:pPr>
      <w:r>
        <w:t>Feature 0</w:t>
      </w:r>
      <w:r w:rsidR="00EE36D8">
        <w:t xml:space="preserve"> </w:t>
      </w:r>
      <w:r w:rsidR="00C602E1">
        <w:t>–</w:t>
      </w:r>
      <w:r w:rsidR="00EE36D8">
        <w:t xml:space="preserve"> General</w:t>
      </w:r>
    </w:p>
    <w:p w14:paraId="1FCAF876" w14:textId="4CB210EC" w:rsidR="00EB48F9" w:rsidRDefault="002B1BBC" w:rsidP="009932A4">
      <w:pPr>
        <w:pStyle w:val="BodyText"/>
      </w:pPr>
      <w:r>
        <w:t>[1] was agreed in RAN4</w:t>
      </w:r>
      <w:r w:rsidR="00456C7E">
        <w:t>#93</w:t>
      </w:r>
      <w:r w:rsidR="001950BB">
        <w:t>. In this proposal, the introduction of EN-DC is FFS</w:t>
      </w:r>
      <w:r w:rsidR="005A126E">
        <w:t xml:space="preserve">, while intra-band CA may be the focus at the beginning. Yet, what exactly </w:t>
      </w:r>
      <w:r w:rsidR="003C78AE">
        <w:t>is important for each operator is to be discussed in a later stage.</w:t>
      </w:r>
      <w:r w:rsidR="000F00F1">
        <w:t xml:space="preserve"> </w:t>
      </w:r>
      <w:r w:rsidR="003C78AE">
        <w:t>This also implies that first IAB deployments will not be based on EN-DC</w:t>
      </w:r>
      <w:r w:rsidR="00EB48F9">
        <w:t xml:space="preserve"> but in SA</w:t>
      </w:r>
      <w:r w:rsidR="000F00F1">
        <w:t xml:space="preserve"> and, therefore, EN-DC features and capabilities cannot be considered essential or basic for IAB networks</w:t>
      </w:r>
      <w:r w:rsidR="0045759A">
        <w:t xml:space="preserve"> in this release</w:t>
      </w:r>
      <w:r w:rsidR="000F00F1">
        <w:t>.</w:t>
      </w:r>
    </w:p>
    <w:p w14:paraId="688FA800" w14:textId="35C34863" w:rsidR="00D61EB0" w:rsidRDefault="00B54DC0" w:rsidP="009932A4">
      <w:pPr>
        <w:pStyle w:val="BodyText"/>
      </w:pPr>
      <w:r>
        <w:t xml:space="preserve">We understand that DRB support has been </w:t>
      </w:r>
      <w:r w:rsidR="00A435AB">
        <w:t xml:space="preserve">a </w:t>
      </w:r>
      <w:r>
        <w:t xml:space="preserve">rather controversial </w:t>
      </w:r>
      <w:r w:rsidR="00A435AB">
        <w:t xml:space="preserve">issue </w:t>
      </w:r>
      <w:r>
        <w:t xml:space="preserve">in RAN2. </w:t>
      </w:r>
      <w:r w:rsidR="006E1215">
        <w:t xml:space="preserve">IAB architecture is </w:t>
      </w:r>
      <w:r w:rsidR="003E7E85">
        <w:t xml:space="preserve">defined </w:t>
      </w:r>
      <w:r w:rsidR="006E1215">
        <w:t>so that user data is transmitted over backhaul RLC channels</w:t>
      </w:r>
      <w:r w:rsidR="00564BCB">
        <w:t>. PDCP</w:t>
      </w:r>
      <w:r w:rsidR="00FA54CC">
        <w:t xml:space="preserve">, thus, is not involved anymore in this procedure and the </w:t>
      </w:r>
      <w:r w:rsidR="006E1215">
        <w:t xml:space="preserve">concept of DRBs </w:t>
      </w:r>
      <w:r w:rsidR="008F0CD4">
        <w:t xml:space="preserve">becomes obsolete </w:t>
      </w:r>
      <w:r w:rsidR="009B6405">
        <w:t xml:space="preserve">for user plane </w:t>
      </w:r>
      <w:r w:rsidR="008F0CD4">
        <w:t xml:space="preserve">data transmission. In addition, </w:t>
      </w:r>
      <w:r w:rsidR="00385C06">
        <w:t xml:space="preserve">RAN3 decided that the configuration of DRBs is limited to OAM and this </w:t>
      </w:r>
      <w:r w:rsidR="00ED5CD0">
        <w:t>type of configuration is optional</w:t>
      </w:r>
      <w:r w:rsidR="00BA3EFE">
        <w:t xml:space="preserve">. </w:t>
      </w:r>
      <w:r w:rsidR="001472EE">
        <w:t xml:space="preserve">The IAB architecture and this RAN3 </w:t>
      </w:r>
      <w:r w:rsidR="00833F80">
        <w:t xml:space="preserve">decision </w:t>
      </w:r>
      <w:r w:rsidR="001472EE">
        <w:t xml:space="preserve">have </w:t>
      </w:r>
      <w:r w:rsidR="00A32FC4">
        <w:t>an effect about the need of supporting DRBs in the IAB-MT</w:t>
      </w:r>
      <w:r w:rsidR="00ED5CD0">
        <w:t>.</w:t>
      </w:r>
      <w:r w:rsidR="00AB445C">
        <w:t xml:space="preserve"> From TS 38.401:</w:t>
      </w:r>
    </w:p>
    <w:p w14:paraId="53F5BB2E" w14:textId="213BF8B0" w:rsidR="00AB445C" w:rsidRDefault="00AB445C" w:rsidP="008B004D">
      <w:pPr>
        <w:ind w:left="567"/>
      </w:pPr>
      <w:r>
        <w:t>“</w:t>
      </w:r>
      <w:r w:rsidR="006E0F07">
        <w:t>[…]</w:t>
      </w:r>
    </w:p>
    <w:p w14:paraId="151AAF5A" w14:textId="77777777" w:rsidR="00AB445C" w:rsidRPr="00A42585" w:rsidRDefault="00AB445C" w:rsidP="008B004D">
      <w:pPr>
        <w:ind w:left="567"/>
        <w:rPr>
          <w:b/>
          <w:bCs/>
        </w:rPr>
      </w:pPr>
      <w:r w:rsidRPr="002E4202">
        <w:rPr>
          <w:color w:val="6888C9"/>
          <w:u w:val="single"/>
          <w:lang w:val="en-US" w:eastAsia="sv-SE"/>
        </w:rPr>
        <w:t>Phase 1: IAB-MT setup. In this phase, the MT functionality of the new IAB-node (e.g. IAB-node 2 in Figure 8.z.1-1) connects to the network as a normal UE, by performing RRC connection setup procedure with IAB-donor-CU, authentication with the core network, IAB-node 2-related context management, IAB-node 2’s access traffic-related radio bearer configuration at the RAN side</w:t>
      </w:r>
      <w:r w:rsidRPr="00A42585">
        <w:rPr>
          <w:b/>
          <w:bCs/>
          <w:color w:val="6888C9"/>
          <w:u w:val="single"/>
          <w:lang w:val="en-US" w:eastAsia="sv-SE"/>
        </w:rPr>
        <w:t>, and, optionally, OAM connectivity establishment by using the IAB-MT’s PDU session.</w:t>
      </w:r>
    </w:p>
    <w:p w14:paraId="778E35F2" w14:textId="0910C456" w:rsidR="00AB445C" w:rsidRDefault="006E0F07" w:rsidP="008B004D">
      <w:pPr>
        <w:ind w:left="567"/>
      </w:pPr>
      <w:r>
        <w:t>[…]</w:t>
      </w:r>
      <w:r w:rsidR="00AB445C">
        <w:t>”</w:t>
      </w:r>
    </w:p>
    <w:p w14:paraId="721FF1A8" w14:textId="3C1C8CE3" w:rsidR="00460D96" w:rsidRDefault="002170C1" w:rsidP="009932A4">
      <w:pPr>
        <w:pStyle w:val="BodyText"/>
      </w:pPr>
      <w:r>
        <w:t>OAM connectivity can be achieved by other means</w:t>
      </w:r>
      <w:r w:rsidR="00C12AA1">
        <w:t xml:space="preserve">, </w:t>
      </w:r>
      <w:r>
        <w:t>for example</w:t>
      </w:r>
      <w:r w:rsidR="00C12AA1">
        <w:t xml:space="preserve">, </w:t>
      </w:r>
      <w:r>
        <w:t xml:space="preserve">via by backhaul bearers. The support </w:t>
      </w:r>
      <w:r w:rsidR="00D80638">
        <w:t>of backhaul</w:t>
      </w:r>
      <w:r>
        <w:t xml:space="preserve"> bearers is, furthermore, </w:t>
      </w:r>
      <w:r w:rsidR="00091DBF">
        <w:t xml:space="preserve">a </w:t>
      </w:r>
      <w:r>
        <w:t xml:space="preserve">mandatory </w:t>
      </w:r>
      <w:r w:rsidR="00091DBF">
        <w:t xml:space="preserve">functionality of the BAP layer which must be supported by an </w:t>
      </w:r>
      <w:r>
        <w:t>IAB node.</w:t>
      </w:r>
      <w:r w:rsidR="003C239F">
        <w:t xml:space="preserve"> </w:t>
      </w:r>
      <w:r w:rsidR="00460D96">
        <w:t xml:space="preserve">In other words, </w:t>
      </w:r>
      <w:r w:rsidR="008D7251">
        <w:t xml:space="preserve">all network supporting IAB must implement </w:t>
      </w:r>
      <w:r w:rsidR="00460D96">
        <w:t>backhaul bearers</w:t>
      </w:r>
      <w:r w:rsidR="008D7251">
        <w:t>. Backhaul bearers can be used to connect to OAM.</w:t>
      </w:r>
      <w:r w:rsidR="009F0126">
        <w:t xml:space="preserve"> </w:t>
      </w:r>
    </w:p>
    <w:p w14:paraId="20C88926" w14:textId="5E850375" w:rsidR="00E277F5" w:rsidRDefault="001A68DA" w:rsidP="009932A4">
      <w:pPr>
        <w:pStyle w:val="BodyText"/>
      </w:pPr>
      <w:r>
        <w:t xml:space="preserve">DRBs </w:t>
      </w:r>
      <w:r w:rsidR="007941C6">
        <w:t xml:space="preserve">provide </w:t>
      </w:r>
      <w:r w:rsidR="00DE2496">
        <w:t xml:space="preserve">an alternative </w:t>
      </w:r>
      <w:r w:rsidR="007941C6">
        <w:t>way to connect to OAM.</w:t>
      </w:r>
      <w:r>
        <w:t xml:space="preserve"> However, this </w:t>
      </w:r>
      <w:r w:rsidR="00C87C9A">
        <w:t xml:space="preserve">is an add-on method on top of the backhaul bearers. </w:t>
      </w:r>
      <w:r w:rsidR="00277700">
        <w:t>Therefore, the support of DRBs and related functionality cannot be considered essential or basic.</w:t>
      </w:r>
    </w:p>
    <w:p w14:paraId="0BB179BF" w14:textId="1D3EA5AC" w:rsidR="00B0370B" w:rsidRDefault="00656CF2" w:rsidP="009932A4">
      <w:pPr>
        <w:pStyle w:val="BodyText"/>
      </w:pPr>
      <w:r>
        <w:t xml:space="preserve">Remaining feature groups in the General section </w:t>
      </w:r>
      <w:r w:rsidR="00B36286">
        <w:t xml:space="preserve">cannot be considered essential or basic and </w:t>
      </w:r>
      <w:r>
        <w:t>need not be supported by the wide area IAB-MT node.</w:t>
      </w:r>
    </w:p>
    <w:p w14:paraId="74055432" w14:textId="130BAC2B" w:rsidR="00B26127" w:rsidRDefault="00B26127" w:rsidP="00FC76CA">
      <w:pPr>
        <w:pStyle w:val="Heading4"/>
      </w:pPr>
      <w:r>
        <w:t>Feature 1</w:t>
      </w:r>
      <w:r w:rsidR="00523A6E">
        <w:t xml:space="preserve"> – PDCP</w:t>
      </w:r>
    </w:p>
    <w:p w14:paraId="65E93A1E" w14:textId="744743DC" w:rsidR="00523A6E" w:rsidRDefault="00523A6E" w:rsidP="00FC76CA">
      <w:pPr>
        <w:pStyle w:val="Heading5"/>
      </w:pPr>
      <w:r>
        <w:t>Index 1-0 “</w:t>
      </w:r>
      <w:r w:rsidRPr="00451BFF">
        <w:t xml:space="preserve">Basic </w:t>
      </w:r>
      <w:r>
        <w:t xml:space="preserve">PDCP </w:t>
      </w:r>
      <w:r w:rsidRPr="00451BFF">
        <w:t>procedures</w:t>
      </w:r>
      <w:r>
        <w:t>”</w:t>
      </w:r>
    </w:p>
    <w:p w14:paraId="385B135C" w14:textId="3F63E913" w:rsidR="00523A6E" w:rsidRDefault="00245F65" w:rsidP="00064F9B">
      <w:pPr>
        <w:pStyle w:val="BodyText"/>
      </w:pPr>
      <w:r>
        <w:t>The support of PDCP is directly related to the support of SRBs and DRBs. SRBs must be support</w:t>
      </w:r>
      <w:r w:rsidR="00661014">
        <w:t>ed</w:t>
      </w:r>
      <w:r>
        <w:t xml:space="preserve"> by IAB-MT </w:t>
      </w:r>
      <w:r w:rsidR="00661014">
        <w:t>n</w:t>
      </w:r>
      <w:r>
        <w:t xml:space="preserve">odes as they are the basic bearers to contact and connect to the network. On the other hand, </w:t>
      </w:r>
      <w:r w:rsidR="00470E61">
        <w:t xml:space="preserve">in IAB networks user </w:t>
      </w:r>
      <w:r w:rsidR="00064F9B" w:rsidRPr="00064F9B">
        <w:t>data is only transmitted RLC BH bearers.</w:t>
      </w:r>
      <w:r w:rsidR="00470E61">
        <w:t xml:space="preserve"> </w:t>
      </w:r>
      <w:r w:rsidR="00064F9B" w:rsidRPr="00064F9B">
        <w:t>DRBs for the support of OAM were considered optional by RAN3</w:t>
      </w:r>
      <w:r w:rsidR="00862A05">
        <w:t xml:space="preserve">. </w:t>
      </w:r>
      <w:r w:rsidR="003330A6">
        <w:t xml:space="preserve">If OAM is </w:t>
      </w:r>
      <w:r w:rsidR="001C56BC">
        <w:t>a basic function and the use of DRBs is optional, it means that</w:t>
      </w:r>
      <w:r w:rsidR="00EA4D94">
        <w:t xml:space="preserve">, for authenticated and trusted network nodes, </w:t>
      </w:r>
      <w:r w:rsidR="001C56BC">
        <w:t xml:space="preserve">there are other </w:t>
      </w:r>
      <w:r w:rsidR="00862A05">
        <w:t>means for handling OAM</w:t>
      </w:r>
      <w:r w:rsidR="004C34CF">
        <w:t xml:space="preserve"> </w:t>
      </w:r>
      <w:r w:rsidR="006A7AF5">
        <w:t>as discussed in Feature 0</w:t>
      </w:r>
      <w:r w:rsidR="00EA4D94">
        <w:t>.</w:t>
      </w:r>
    </w:p>
    <w:p w14:paraId="3CCE950A" w14:textId="3457A902" w:rsidR="0074755C" w:rsidRDefault="0074755C" w:rsidP="00064F9B">
      <w:pPr>
        <w:pStyle w:val="BodyText"/>
      </w:pPr>
      <w:r>
        <w:t xml:space="preserve">This feature group should be partly be mandatory. Concretely, all the PDCP functions related to SRBs. </w:t>
      </w:r>
      <w:r w:rsidR="00607AAA">
        <w:t>This is the minimum functionality which is needed.</w:t>
      </w:r>
    </w:p>
    <w:p w14:paraId="1CE2BD2C" w14:textId="20B4D355" w:rsidR="009D2D3C" w:rsidRDefault="0022557F" w:rsidP="009D2D3C">
      <w:pPr>
        <w:pStyle w:val="Proposal"/>
      </w:pPr>
      <w:bookmarkStart w:id="1" w:name="_Toc37319291"/>
      <w:r>
        <w:t xml:space="preserve">Of the components </w:t>
      </w:r>
      <w:r w:rsidR="00686746">
        <w:t>of f</w:t>
      </w:r>
      <w:r w:rsidR="009D2D3C">
        <w:t xml:space="preserve">eature group index 1-0 </w:t>
      </w:r>
      <w:r>
        <w:t xml:space="preserve">only the components </w:t>
      </w:r>
      <w:r w:rsidR="00686746">
        <w:t xml:space="preserve">related to SRBs (components 2, 3, 4, 6 and </w:t>
      </w:r>
      <w:r w:rsidR="009F49CF">
        <w:t xml:space="preserve">SRB </w:t>
      </w:r>
      <w:r w:rsidR="00686746">
        <w:t xml:space="preserve">parts of component 1) shall be </w:t>
      </w:r>
      <w:r w:rsidR="009D2D3C">
        <w:t xml:space="preserve">supported by </w:t>
      </w:r>
      <w:r w:rsidR="00686746">
        <w:t xml:space="preserve">the </w:t>
      </w:r>
      <w:r w:rsidR="00841767">
        <w:t xml:space="preserve">wide area </w:t>
      </w:r>
      <w:r w:rsidR="009D2D3C">
        <w:t>IAB-MT node</w:t>
      </w:r>
      <w:r w:rsidR="003E58BC">
        <w:t>.</w:t>
      </w:r>
      <w:bookmarkEnd w:id="1"/>
    </w:p>
    <w:p w14:paraId="2EFF60B0" w14:textId="0CA7E97E" w:rsidR="002C5CE4" w:rsidRDefault="00686746" w:rsidP="00064F9B">
      <w:pPr>
        <w:pStyle w:val="BodyText"/>
      </w:pPr>
      <w:r>
        <w:t>Remaining feature groups of PDCP</w:t>
      </w:r>
      <w:r w:rsidR="00FC76CA" w:rsidRPr="00FC76CA">
        <w:t xml:space="preserve"> </w:t>
      </w:r>
      <w:r w:rsidR="00FC76CA">
        <w:t>cannot be considered essential or basic and</w:t>
      </w:r>
      <w:r>
        <w:t xml:space="preserve"> need not be supported by the wide area IAB-MT node.</w:t>
      </w:r>
    </w:p>
    <w:p w14:paraId="16A34772" w14:textId="0F747D97" w:rsidR="009F1DF0" w:rsidRDefault="009F1DF0" w:rsidP="00E76875">
      <w:pPr>
        <w:pStyle w:val="Heading4"/>
      </w:pPr>
      <w:r>
        <w:t>Feature 2 – RLC</w:t>
      </w:r>
    </w:p>
    <w:p w14:paraId="15F5F0D1" w14:textId="2076678D" w:rsidR="003956D6" w:rsidRDefault="003956D6" w:rsidP="00E76875">
      <w:pPr>
        <w:pStyle w:val="Heading5"/>
      </w:pPr>
      <w:r>
        <w:t>Index 2-0 “</w:t>
      </w:r>
      <w:r w:rsidRPr="003956D6">
        <w:t>Basic RLC procedures</w:t>
      </w:r>
      <w:r>
        <w:t>”</w:t>
      </w:r>
    </w:p>
    <w:p w14:paraId="089F9D3D" w14:textId="5A285144" w:rsidR="009F1DF0" w:rsidRDefault="00995838" w:rsidP="00FE2E83">
      <w:pPr>
        <w:pStyle w:val="BodyText"/>
      </w:pPr>
      <w:r>
        <w:t xml:space="preserve">All components of the Basic RLC procedures </w:t>
      </w:r>
      <w:r w:rsidR="00686746">
        <w:t>are necessary for system operation and shall</w:t>
      </w:r>
      <w:r>
        <w:t xml:space="preserve"> be supported by IAB-MTs. </w:t>
      </w:r>
      <w:r w:rsidR="004507C6">
        <w:t xml:space="preserve">SRB0 is transmitted over RLC TM, for instance. </w:t>
      </w:r>
      <w:r w:rsidR="0045759A">
        <w:t>A</w:t>
      </w:r>
      <w:r w:rsidR="004507C6">
        <w:t xml:space="preserve"> large SN length is also required</w:t>
      </w:r>
      <w:r w:rsidR="00387F05">
        <w:t>,</w:t>
      </w:r>
      <w:r w:rsidR="004507C6">
        <w:t xml:space="preserve"> which means that </w:t>
      </w:r>
      <w:r w:rsidR="00264449">
        <w:t xml:space="preserve">a SN length of 18 bits </w:t>
      </w:r>
      <w:r w:rsidR="00686746">
        <w:t xml:space="preserve">shall </w:t>
      </w:r>
      <w:r w:rsidR="00264449">
        <w:t>also be supported for RLC AM.</w:t>
      </w:r>
      <w:r w:rsidR="009109AF">
        <w:t xml:space="preserve"> SDU discard is also a basic function in RLC. </w:t>
      </w:r>
      <w:r w:rsidR="00264449">
        <w:t xml:space="preserve"> </w:t>
      </w:r>
    </w:p>
    <w:p w14:paraId="3CFD4610" w14:textId="0BF8583C" w:rsidR="00873A01" w:rsidRDefault="00873A01" w:rsidP="00E76875">
      <w:pPr>
        <w:pStyle w:val="Heading5"/>
      </w:pPr>
      <w:r>
        <w:lastRenderedPageBreak/>
        <w:t>Index 2-4 “</w:t>
      </w:r>
      <w:r w:rsidRPr="00873A01">
        <w:t>NR RLC SN size for SRB</w:t>
      </w:r>
      <w:r>
        <w:t>”</w:t>
      </w:r>
    </w:p>
    <w:p w14:paraId="515DA753" w14:textId="12CFA144" w:rsidR="00873A01" w:rsidRDefault="00873A01" w:rsidP="00C40400">
      <w:pPr>
        <w:pStyle w:val="BodyText"/>
      </w:pPr>
      <w:r>
        <w:t xml:space="preserve">This </w:t>
      </w:r>
      <w:r w:rsidR="00C40400">
        <w:t xml:space="preserve">index </w:t>
      </w:r>
      <w:r w:rsidR="00031929">
        <w:t>indicates the support of the SN length for SRBs. S</w:t>
      </w:r>
      <w:r w:rsidR="00C40400">
        <w:t>ince SRBs are supported</w:t>
      </w:r>
      <w:r w:rsidR="00BF78F3">
        <w:t xml:space="preserve"> and there is only one SN size for SRBs,</w:t>
      </w:r>
      <w:r w:rsidR="00C40400">
        <w:t xml:space="preserve"> </w:t>
      </w:r>
      <w:r w:rsidR="00BF78F3">
        <w:t>this index must be supported</w:t>
      </w:r>
      <w:r w:rsidR="00C40400">
        <w:t xml:space="preserve">. </w:t>
      </w:r>
    </w:p>
    <w:p w14:paraId="5D2767CA" w14:textId="3104C3C9" w:rsidR="004B1F53" w:rsidRDefault="004B1F53" w:rsidP="004B1F53">
      <w:pPr>
        <w:pStyle w:val="Proposal"/>
      </w:pPr>
      <w:bookmarkStart w:id="2" w:name="_Toc36718987"/>
      <w:bookmarkStart w:id="3" w:name="_Toc37079505"/>
      <w:bookmarkStart w:id="4" w:name="_Toc37079577"/>
      <w:bookmarkStart w:id="5" w:name="_Toc37091467"/>
      <w:bookmarkStart w:id="6" w:name="_Toc37167586"/>
      <w:bookmarkStart w:id="7" w:name="_Toc37167621"/>
      <w:bookmarkStart w:id="8" w:name="_Toc37319292"/>
      <w:bookmarkEnd w:id="2"/>
      <w:bookmarkEnd w:id="3"/>
      <w:bookmarkEnd w:id="4"/>
      <w:bookmarkEnd w:id="5"/>
      <w:bookmarkEnd w:id="6"/>
      <w:bookmarkEnd w:id="7"/>
      <w:r>
        <w:t xml:space="preserve">Feature group index 2-0 </w:t>
      </w:r>
      <w:r w:rsidR="00686746">
        <w:t>shall</w:t>
      </w:r>
      <w:r>
        <w:t xml:space="preserve"> be supported by </w:t>
      </w:r>
      <w:r w:rsidR="00841767">
        <w:t xml:space="preserve">wide area </w:t>
      </w:r>
      <w:r>
        <w:t>IAB-MT node</w:t>
      </w:r>
      <w:r w:rsidR="0022557F">
        <w:t>.</w:t>
      </w:r>
      <w:bookmarkEnd w:id="8"/>
    </w:p>
    <w:p w14:paraId="44846DEC" w14:textId="23920A3B" w:rsidR="004B1F53" w:rsidRDefault="004B1F53" w:rsidP="004B1F53">
      <w:pPr>
        <w:pStyle w:val="Proposal"/>
      </w:pPr>
      <w:bookmarkStart w:id="9" w:name="_Toc37319293"/>
      <w:r>
        <w:t xml:space="preserve">Feature group index 2-4 </w:t>
      </w:r>
      <w:r w:rsidR="00686746">
        <w:t>shall</w:t>
      </w:r>
      <w:r>
        <w:t xml:space="preserve"> be supported by </w:t>
      </w:r>
      <w:r w:rsidR="00841767">
        <w:t xml:space="preserve">wide area </w:t>
      </w:r>
      <w:r>
        <w:t>IAB-MT node</w:t>
      </w:r>
      <w:r w:rsidR="0022557F">
        <w:t>.</w:t>
      </w:r>
      <w:bookmarkEnd w:id="9"/>
    </w:p>
    <w:p w14:paraId="5F438975" w14:textId="11570930" w:rsidR="00873A01" w:rsidRDefault="00686746" w:rsidP="00995838">
      <w:pPr>
        <w:pStyle w:val="BodyText"/>
      </w:pPr>
      <w:r>
        <w:t xml:space="preserve">Remaining feature groups of RLC </w:t>
      </w:r>
      <w:r w:rsidR="00E76875">
        <w:t xml:space="preserve">cannot be considered essential or basic and </w:t>
      </w:r>
      <w:r>
        <w:t>need not be supported by the wide area IAB-MT node.</w:t>
      </w:r>
    </w:p>
    <w:p w14:paraId="0FB1D7A6" w14:textId="43446141" w:rsidR="00567A4F" w:rsidRDefault="00567A4F" w:rsidP="009A07C0">
      <w:pPr>
        <w:pStyle w:val="Heading4"/>
      </w:pPr>
      <w:r>
        <w:t>Feature 3 – MAC</w:t>
      </w:r>
    </w:p>
    <w:p w14:paraId="78E707D0" w14:textId="0EA64132" w:rsidR="00A16499" w:rsidRDefault="00A16499" w:rsidP="009A07C0">
      <w:pPr>
        <w:pStyle w:val="Heading5"/>
      </w:pPr>
      <w:r>
        <w:t>Index 3-0 “</w:t>
      </w:r>
      <w:r w:rsidR="009A182A" w:rsidRPr="009A182A">
        <w:t>Basic MAC procedures</w:t>
      </w:r>
      <w:r>
        <w:t>”</w:t>
      </w:r>
    </w:p>
    <w:p w14:paraId="35171424" w14:textId="596853D9" w:rsidR="009F1DF0" w:rsidRDefault="005A6D38" w:rsidP="005A6D38">
      <w:pPr>
        <w:pStyle w:val="BodyText"/>
      </w:pPr>
      <w:r>
        <w:t>All components in this feature group</w:t>
      </w:r>
      <w:r w:rsidR="00FD2CEE">
        <w:t xml:space="preserve"> are necessary. </w:t>
      </w:r>
      <w:r w:rsidR="00FE545F">
        <w:t xml:space="preserve">These components are related to </w:t>
      </w:r>
      <w:r w:rsidR="00FD2CEE">
        <w:t>the access to the network</w:t>
      </w:r>
      <w:r w:rsidR="00057B20">
        <w:t xml:space="preserve"> </w:t>
      </w:r>
      <w:r w:rsidR="00F03A2B">
        <w:t xml:space="preserve">e.g. random access </w:t>
      </w:r>
      <w:r w:rsidR="00FE545F">
        <w:t xml:space="preserve">and </w:t>
      </w:r>
      <w:r w:rsidR="00F03A2B">
        <w:t>related procedures</w:t>
      </w:r>
      <w:r w:rsidR="00FD2CEE">
        <w:t xml:space="preserve">, </w:t>
      </w:r>
      <w:r w:rsidR="00057B20">
        <w:t>L1 timing maintenance,</w:t>
      </w:r>
      <w:r w:rsidR="00F03A2B">
        <w:t xml:space="preserve"> </w:t>
      </w:r>
      <w:r w:rsidR="00FE545F">
        <w:t>scheduling,</w:t>
      </w:r>
      <w:r w:rsidR="00815084">
        <w:t xml:space="preserve"> data transmission e.g. HARQ, among others.</w:t>
      </w:r>
      <w:r w:rsidR="00FE545F">
        <w:t xml:space="preserve"> </w:t>
      </w:r>
      <w:r w:rsidR="00057B20">
        <w:t xml:space="preserve"> </w:t>
      </w:r>
    </w:p>
    <w:p w14:paraId="52D5EFB8" w14:textId="559196DE" w:rsidR="00610AB2" w:rsidRDefault="00DD07A2" w:rsidP="00DD07A2">
      <w:pPr>
        <w:pStyle w:val="Proposal"/>
      </w:pPr>
      <w:bookmarkStart w:id="10" w:name="_Toc37319294"/>
      <w:r>
        <w:t>Feature group i</w:t>
      </w:r>
      <w:r w:rsidR="002E7698">
        <w:t xml:space="preserve">ndex 3-0 </w:t>
      </w:r>
      <w:r w:rsidR="00686746">
        <w:t xml:space="preserve">shall </w:t>
      </w:r>
      <w:r>
        <w:t xml:space="preserve">be supported by </w:t>
      </w:r>
      <w:r w:rsidR="00841767">
        <w:t xml:space="preserve">wide area </w:t>
      </w:r>
      <w:r>
        <w:t>IAB-MT node</w:t>
      </w:r>
      <w:r w:rsidR="00B20712">
        <w:t xml:space="preserve"> except for except EN-DC related aspects and those </w:t>
      </w:r>
      <w:r w:rsidR="00586CCD">
        <w:t xml:space="preserve">components </w:t>
      </w:r>
      <w:r w:rsidR="00267AF3">
        <w:t xml:space="preserve">which </w:t>
      </w:r>
      <w:r w:rsidR="006C1289">
        <w:t>RAN1 might also exclude</w:t>
      </w:r>
      <w:r w:rsidR="000C3EDF">
        <w:t>.</w:t>
      </w:r>
      <w:bookmarkEnd w:id="10"/>
    </w:p>
    <w:p w14:paraId="049CFC0D" w14:textId="09B7627A" w:rsidR="0022557F" w:rsidRDefault="0022557F" w:rsidP="009A07C0">
      <w:pPr>
        <w:pStyle w:val="BodyText"/>
      </w:pPr>
      <w:r>
        <w:t xml:space="preserve">Remaining feature groups of MAC </w:t>
      </w:r>
      <w:r w:rsidR="009A07C0">
        <w:t xml:space="preserve">cannot be considered essential or basic and </w:t>
      </w:r>
      <w:r>
        <w:t>need not be supported by the wide area IAB-MT node.</w:t>
      </w:r>
    </w:p>
    <w:p w14:paraId="32790F8D" w14:textId="1C019AD1" w:rsidR="00610AB2" w:rsidRDefault="00610AB2" w:rsidP="00C34FE1">
      <w:pPr>
        <w:pStyle w:val="Heading4"/>
      </w:pPr>
      <w:r>
        <w:t xml:space="preserve">Feature 4 – Measurements </w:t>
      </w:r>
    </w:p>
    <w:p w14:paraId="3479EFDE" w14:textId="12A4B971" w:rsidR="00DE019D" w:rsidRDefault="00DE019D" w:rsidP="00DE019D">
      <w:pPr>
        <w:pStyle w:val="BodyText"/>
      </w:pPr>
      <w:r>
        <w:t xml:space="preserve">Measurements and </w:t>
      </w:r>
      <w:r w:rsidR="00EA242F">
        <w:t>mobility (feature 7) are tightly connected. Since IAB nodes will aggregate data from other IAB</w:t>
      </w:r>
      <w:r w:rsidR="0022557F">
        <w:t xml:space="preserve"> node</w:t>
      </w:r>
      <w:r w:rsidR="00EA242F">
        <w:t xml:space="preserve">s and UEs, after the </w:t>
      </w:r>
      <w:r w:rsidR="00A4414A">
        <w:t xml:space="preserve">IAB node </w:t>
      </w:r>
      <w:r w:rsidR="00EA242F">
        <w:t xml:space="preserve">camps and connects to the selected cell, </w:t>
      </w:r>
      <w:r w:rsidR="00EA242F" w:rsidRPr="00006656">
        <w:t xml:space="preserve">the </w:t>
      </w:r>
      <w:r w:rsidR="00EA242F">
        <w:t xml:space="preserve">IAB </w:t>
      </w:r>
      <w:r w:rsidR="0022557F">
        <w:t xml:space="preserve">node </w:t>
      </w:r>
      <w:r w:rsidR="00EA242F">
        <w:t>will remain in connected state to the cell initially selected. In a planned network in which IAB</w:t>
      </w:r>
      <w:r w:rsidR="0022557F">
        <w:t xml:space="preserve"> node</w:t>
      </w:r>
      <w:r w:rsidR="00EA242F">
        <w:t xml:space="preserve">s are fixed, IAB nodes will camp in very specific parent nodes/donors and, probably, there may be a single node in which the IAB </w:t>
      </w:r>
      <w:r w:rsidR="0022557F">
        <w:t xml:space="preserve">node </w:t>
      </w:r>
      <w:r w:rsidR="00EA242F">
        <w:t xml:space="preserve">may be able to camp. </w:t>
      </w:r>
      <w:r w:rsidR="00F90000">
        <w:t>Frequencies</w:t>
      </w:r>
      <w:r w:rsidR="001D4168">
        <w:t xml:space="preserve"> </w:t>
      </w:r>
      <w:r w:rsidR="00F90000">
        <w:t>may also be planned and tested</w:t>
      </w:r>
      <w:r w:rsidR="001D4168">
        <w:t xml:space="preserve">. </w:t>
      </w:r>
      <w:r w:rsidR="00EA242F">
        <w:t xml:space="preserve">This implies </w:t>
      </w:r>
      <w:r w:rsidR="0082397D">
        <w:t xml:space="preserve">that </w:t>
      </w:r>
      <w:r w:rsidR="001D4168">
        <w:t xml:space="preserve">reconfigurations will </w:t>
      </w:r>
      <w:r w:rsidR="007115D8">
        <w:t xml:space="preserve">be dependent on the deployments and </w:t>
      </w:r>
      <w:r w:rsidR="00EA242F">
        <w:t xml:space="preserve">handovers will </w:t>
      </w:r>
      <w:r w:rsidR="00186C46">
        <w:t>be very rare, at least initially</w:t>
      </w:r>
      <w:r w:rsidR="007115D8">
        <w:t>. T</w:t>
      </w:r>
      <w:r w:rsidR="0082397D">
        <w:t xml:space="preserve">hus, measurements are also not needed </w:t>
      </w:r>
      <w:r w:rsidR="00EA242F">
        <w:t>in this type of network deployments</w:t>
      </w:r>
      <w:r w:rsidR="0082397D">
        <w:t xml:space="preserve">. </w:t>
      </w:r>
    </w:p>
    <w:p w14:paraId="366F821D" w14:textId="43CE30B2" w:rsidR="00A11361" w:rsidRDefault="00EA06DA" w:rsidP="00DE019D">
      <w:pPr>
        <w:pStyle w:val="BodyText"/>
      </w:pPr>
      <w:r>
        <w:t xml:space="preserve">As </w:t>
      </w:r>
      <w:r w:rsidR="00A11361">
        <w:t xml:space="preserve">IAB networks develop and extend, measurements </w:t>
      </w:r>
      <w:r w:rsidR="00125C03">
        <w:t xml:space="preserve">(specially index 4-1 “intra-NR measurements and report”) </w:t>
      </w:r>
      <w:r w:rsidR="00A11361">
        <w:t xml:space="preserve">and reconfigurations might happen </w:t>
      </w:r>
      <w:r>
        <w:t>for load balancing reasons, for instance. However, at this stage measurements and handovers are not essential features to support IAB networks.</w:t>
      </w:r>
    </w:p>
    <w:p w14:paraId="1EDD5D44" w14:textId="7F6A8D7B" w:rsidR="003D3BFD" w:rsidRDefault="003D3BFD" w:rsidP="00281522">
      <w:pPr>
        <w:pStyle w:val="Heading4"/>
      </w:pPr>
      <w:r>
        <w:t>Feature 5 – SDAP</w:t>
      </w:r>
    </w:p>
    <w:p w14:paraId="2D4FCB27" w14:textId="6C8910C4" w:rsidR="003D3BFD" w:rsidRDefault="00586414" w:rsidP="003D3BFD">
      <w:pPr>
        <w:pStyle w:val="BodyText"/>
      </w:pPr>
      <w:bookmarkStart w:id="11" w:name="_Hlk36197580"/>
      <w:r>
        <w:t xml:space="preserve">SDAP sits on top of PDCP and is </w:t>
      </w:r>
      <w:r w:rsidR="00C5685B">
        <w:t xml:space="preserve">used to support the </w:t>
      </w:r>
      <w:r w:rsidR="00C616DE">
        <w:t xml:space="preserve">5GC </w:t>
      </w:r>
      <w:r w:rsidR="00C5685B">
        <w:t>QoS framework</w:t>
      </w:r>
      <w:r w:rsidR="00741955">
        <w:t xml:space="preserve"> for user plane data. User plane data in IAB nodes is transmitted over backhaul bearers</w:t>
      </w:r>
      <w:r w:rsidR="00F76A0E">
        <w:t xml:space="preserve"> and PDCP is not involved. Only the end nodes</w:t>
      </w:r>
      <w:r w:rsidR="001F47ED">
        <w:t>,</w:t>
      </w:r>
      <w:r w:rsidR="00F76A0E">
        <w:t xml:space="preserve"> i.e. donor CU and UE have the PDCP and SDAP entities for user plane data. </w:t>
      </w:r>
      <w:r w:rsidR="009A4FF0">
        <w:t>Even if DRBs would be used for OAM</w:t>
      </w:r>
      <w:r w:rsidR="00B972BD">
        <w:t xml:space="preserve"> connectivity, OAM is not user plane data</w:t>
      </w:r>
      <w:r w:rsidR="003B2B57">
        <w:t>. I</w:t>
      </w:r>
      <w:r w:rsidR="00B972BD">
        <w:t>t is control data</w:t>
      </w:r>
      <w:r w:rsidR="00EE26DC">
        <w:t xml:space="preserve">, </w:t>
      </w:r>
      <w:r w:rsidR="00B972BD">
        <w:t>in essence</w:t>
      </w:r>
      <w:r w:rsidR="00EE26DC">
        <w:t xml:space="preserve">, and is very limited data. </w:t>
      </w:r>
      <w:r w:rsidR="003B2B57">
        <w:t xml:space="preserve">In conclusion, this </w:t>
      </w:r>
      <w:r w:rsidR="003D3BFD">
        <w:t>feature is not need</w:t>
      </w:r>
      <w:r w:rsidR="0022557F">
        <w:t>ed</w:t>
      </w:r>
      <w:r w:rsidR="003D3BFD">
        <w:t xml:space="preserve"> for the basic operation of </w:t>
      </w:r>
      <w:r w:rsidR="003739A1">
        <w:t>IAB nodes</w:t>
      </w:r>
      <w:bookmarkEnd w:id="11"/>
      <w:r w:rsidR="00BF7F97">
        <w:t>.</w:t>
      </w:r>
      <w:r w:rsidR="009D3C9B">
        <w:t xml:space="preserve"> </w:t>
      </w:r>
    </w:p>
    <w:p w14:paraId="2ECDEDCD" w14:textId="5D571515" w:rsidR="003F3A67" w:rsidRDefault="003F3A67" w:rsidP="001A567F">
      <w:pPr>
        <w:pStyle w:val="Heading4"/>
      </w:pPr>
      <w:r>
        <w:t>Feature 6 – Inactive</w:t>
      </w:r>
    </w:p>
    <w:p w14:paraId="2D28A9D1" w14:textId="6411DDB6" w:rsidR="003F3A67" w:rsidRDefault="002764B0" w:rsidP="003F3A67">
      <w:pPr>
        <w:pStyle w:val="BodyText"/>
      </w:pPr>
      <w:r>
        <w:t>In general, IAB nodes aggregate data from UEs and from other IABs</w:t>
      </w:r>
      <w:r w:rsidR="00F26C73">
        <w:t>,</w:t>
      </w:r>
      <w:r>
        <w:t xml:space="preserve"> which can further aggregate traffic from other IABs and/or UEs. </w:t>
      </w:r>
      <w:r w:rsidR="00EC2AFB">
        <w:t>Thus, the state</w:t>
      </w:r>
      <w:r w:rsidR="00F26C73">
        <w:t>,</w:t>
      </w:r>
      <w:r w:rsidR="00EC2AFB">
        <w:t xml:space="preserve"> which is needed for basic operation of an IAB node is Connected. Other states </w:t>
      </w:r>
      <w:r w:rsidR="009F3360">
        <w:t>are not necessary for the basic operation.</w:t>
      </w:r>
    </w:p>
    <w:p w14:paraId="6E774275" w14:textId="29950DAC" w:rsidR="009F3360" w:rsidRDefault="009F3360" w:rsidP="006A5C5C">
      <w:pPr>
        <w:pStyle w:val="Heading4"/>
      </w:pPr>
      <w:r>
        <w:t xml:space="preserve">Feature </w:t>
      </w:r>
      <w:r w:rsidR="007B33DB">
        <w:t>7</w:t>
      </w:r>
      <w:r>
        <w:t xml:space="preserve"> – Mobility</w:t>
      </w:r>
    </w:p>
    <w:p w14:paraId="4B420087" w14:textId="71E70DA1" w:rsidR="00006656" w:rsidRDefault="00006656" w:rsidP="00006656">
      <w:pPr>
        <w:pStyle w:val="BodyText"/>
      </w:pPr>
      <w:r>
        <w:t xml:space="preserve">As discussed above, since IAB nodes will aggregate data from other IABs and UEs, after the UE camps and connects to the selected cell, </w:t>
      </w:r>
      <w:r w:rsidRPr="00006656">
        <w:t xml:space="preserve">the </w:t>
      </w:r>
      <w:r>
        <w:t>IAB</w:t>
      </w:r>
      <w:r w:rsidR="0022557F">
        <w:t xml:space="preserve"> node</w:t>
      </w:r>
      <w:r>
        <w:t xml:space="preserve"> will remain in connected state to the cell initially selected. In</w:t>
      </w:r>
      <w:r w:rsidR="00CC0BF9">
        <w:t xml:space="preserve"> a planned network</w:t>
      </w:r>
      <w:r w:rsidR="004C46C5">
        <w:t xml:space="preserve"> in which IAB</w:t>
      </w:r>
      <w:r w:rsidR="0022557F">
        <w:t xml:space="preserve"> node</w:t>
      </w:r>
      <w:r w:rsidR="004C46C5">
        <w:t>s are fixed</w:t>
      </w:r>
      <w:r w:rsidR="00CC0BF9">
        <w:t xml:space="preserve">, IAB nodes will camp in very </w:t>
      </w:r>
      <w:r w:rsidR="004C46C5">
        <w:t xml:space="preserve">specific parent nodes/donors </w:t>
      </w:r>
      <w:r w:rsidR="00CC0BF9">
        <w:t xml:space="preserve">and, probably, there may be a single node in which </w:t>
      </w:r>
      <w:r w:rsidR="004C46C5">
        <w:t xml:space="preserve">the IAB may be able to </w:t>
      </w:r>
      <w:r w:rsidR="00CC0BF9">
        <w:t>camp.</w:t>
      </w:r>
      <w:r w:rsidR="00F55008">
        <w:t xml:space="preserve"> This implies that handovers will not happen</w:t>
      </w:r>
      <w:r w:rsidR="005802F3">
        <w:t xml:space="preserve"> in this type of network deployments and, thus, handovers are not a basic feature to support IAB networks.</w:t>
      </w:r>
    </w:p>
    <w:p w14:paraId="2E3022DB" w14:textId="495072BE" w:rsidR="005B7CD6" w:rsidRDefault="005B7CD6" w:rsidP="005B7CD6">
      <w:pPr>
        <w:pStyle w:val="BodyText"/>
      </w:pPr>
      <w:r>
        <w:lastRenderedPageBreak/>
        <w:t xml:space="preserve">As IAB networks develop and extend, measurements and </w:t>
      </w:r>
      <w:r w:rsidR="007078CF">
        <w:t xml:space="preserve">some </w:t>
      </w:r>
      <w:r>
        <w:t xml:space="preserve">reconfigurations </w:t>
      </w:r>
      <w:r w:rsidR="007078CF">
        <w:t xml:space="preserve">(e.g. intra/inter-frequency handover) </w:t>
      </w:r>
      <w:r>
        <w:t>might happen for load balancing reasons, for instance. However, at this stage measurements and handovers are not essential features to support IAB networks.</w:t>
      </w:r>
    </w:p>
    <w:p w14:paraId="3FCF7C44" w14:textId="1D13ECFB" w:rsidR="007B33DB" w:rsidRDefault="00C6799E" w:rsidP="00FF5999">
      <w:pPr>
        <w:pStyle w:val="Heading4"/>
      </w:pPr>
      <w:r>
        <w:t>F</w:t>
      </w:r>
      <w:r w:rsidR="007B33DB">
        <w:t xml:space="preserve">eature 8 – </w:t>
      </w:r>
      <w:r w:rsidR="007B33DB" w:rsidRPr="007B33DB">
        <w:t>Idle/inactive UE procedures</w:t>
      </w:r>
    </w:p>
    <w:p w14:paraId="02CE4F93" w14:textId="3B75C9F2" w:rsidR="007B33DB" w:rsidRDefault="00762658" w:rsidP="003F3A67">
      <w:pPr>
        <w:pStyle w:val="BodyText"/>
      </w:pPr>
      <w:r>
        <w:t>This feature only has one group, “</w:t>
      </w:r>
      <w:r w:rsidRPr="00762658">
        <w:t>System information acquisition</w:t>
      </w:r>
      <w:r>
        <w:t>” which relates in its whole to the SI on demand.</w:t>
      </w:r>
      <w:r w:rsidR="00C261E6">
        <w:t xml:space="preserve"> </w:t>
      </w:r>
      <w:r w:rsidR="00520B1A">
        <w:t xml:space="preserve">This is an add-on </w:t>
      </w:r>
      <w:r w:rsidR="00DE5997">
        <w:t xml:space="preserve">enhancement </w:t>
      </w:r>
      <w:r w:rsidR="00F15755">
        <w:t xml:space="preserve">for </w:t>
      </w:r>
      <w:r w:rsidR="00DE5997">
        <w:t>the system and is, therefore, not a basic operation for an IAB network.</w:t>
      </w:r>
    </w:p>
    <w:p w14:paraId="3E423E4C" w14:textId="538D42AB" w:rsidR="007B33DB" w:rsidRDefault="007B33DB" w:rsidP="00AA64FF">
      <w:pPr>
        <w:pStyle w:val="Heading4"/>
      </w:pPr>
      <w:r>
        <w:t xml:space="preserve">Feature </w:t>
      </w:r>
      <w:r w:rsidR="00CF0CAC">
        <w:t>9</w:t>
      </w:r>
      <w:r>
        <w:t xml:space="preserve"> – RRC</w:t>
      </w:r>
    </w:p>
    <w:p w14:paraId="6405FE99" w14:textId="7B157F66" w:rsidR="009F3360" w:rsidRDefault="000672BB" w:rsidP="003F3A67">
      <w:pPr>
        <w:pStyle w:val="BodyText"/>
      </w:pPr>
      <w:r>
        <w:t xml:space="preserve">This feature should be supported so that the </w:t>
      </w:r>
      <w:r w:rsidR="00B54EA1">
        <w:t>wide area IAB-</w:t>
      </w:r>
      <w:r w:rsidR="00B9319A">
        <w:t>MT</w:t>
      </w:r>
      <w:r w:rsidR="00B54EA1">
        <w:t xml:space="preserve"> node</w:t>
      </w:r>
      <w:r w:rsidR="00B9319A">
        <w:t xml:space="preserve"> can handle any RRC message transmitted by the CU.</w:t>
      </w:r>
    </w:p>
    <w:p w14:paraId="1866DC70" w14:textId="2C7D16CB" w:rsidR="00DB23B4" w:rsidRDefault="00C6799E" w:rsidP="00172641">
      <w:pPr>
        <w:pStyle w:val="Proposal"/>
      </w:pPr>
      <w:bookmarkStart w:id="12" w:name="_Toc37319295"/>
      <w:r>
        <w:t xml:space="preserve">Feature group 9 </w:t>
      </w:r>
      <w:r w:rsidR="00B54EA1">
        <w:t>shall</w:t>
      </w:r>
      <w:r>
        <w:t xml:space="preserve"> be supported by </w:t>
      </w:r>
      <w:r w:rsidR="00841767">
        <w:t xml:space="preserve">wide area </w:t>
      </w:r>
      <w:r>
        <w:t>IAB-MT node</w:t>
      </w:r>
      <w:r w:rsidR="00352EFC">
        <w:t xml:space="preserve">, except for those components </w:t>
      </w:r>
      <w:r w:rsidR="009E0060">
        <w:t>excluded before e.g. EN-DC</w:t>
      </w:r>
      <w:r w:rsidR="00B54EA1">
        <w:t>.</w:t>
      </w:r>
      <w:bookmarkEnd w:id="12"/>
    </w:p>
    <w:p w14:paraId="0E734343" w14:textId="22C67947" w:rsidR="00327AB6" w:rsidRDefault="00327AB6" w:rsidP="00AA64FF">
      <w:pPr>
        <w:pStyle w:val="Proposal"/>
      </w:pPr>
      <w:bookmarkStart w:id="13" w:name="_Toc37319296"/>
      <w:r>
        <w:t xml:space="preserve">All other features not listed in the proposals above are not essential for </w:t>
      </w:r>
      <w:r w:rsidR="0093457D">
        <w:t xml:space="preserve">wide area </w:t>
      </w:r>
      <w:r>
        <w:t>IAB</w:t>
      </w:r>
      <w:r w:rsidR="0093457D">
        <w:t>-MTs</w:t>
      </w:r>
      <w:r>
        <w:t xml:space="preserve"> and are, therefore, optional</w:t>
      </w:r>
      <w:r w:rsidR="008A409D">
        <w:t>.</w:t>
      </w:r>
      <w:bookmarkEnd w:id="13"/>
    </w:p>
    <w:p w14:paraId="122F2122" w14:textId="360952A5" w:rsidR="005638D5" w:rsidRDefault="007B61BB" w:rsidP="007B61BB">
      <w:pPr>
        <w:pStyle w:val="Heading3"/>
      </w:pPr>
      <w:r>
        <w:t>2.</w:t>
      </w:r>
      <w:r w:rsidR="00EB7FF7">
        <w:t>1</w:t>
      </w:r>
      <w:r>
        <w:t>.</w:t>
      </w:r>
      <w:r w:rsidR="00EB7FF7">
        <w:t>2</w:t>
      </w:r>
      <w:r>
        <w:tab/>
        <w:t>Capability signalling</w:t>
      </w:r>
    </w:p>
    <w:p w14:paraId="073DB486" w14:textId="6E4A4C4F" w:rsidR="00772A4B" w:rsidRDefault="007B61BB" w:rsidP="007B61BB">
      <w:pPr>
        <w:pStyle w:val="BodyText"/>
      </w:pPr>
      <w:r>
        <w:t xml:space="preserve">Some of the feature groups in the previous section </w:t>
      </w:r>
      <w:r w:rsidR="00772A4B">
        <w:t xml:space="preserve">were mandatory in Release 15 and </w:t>
      </w:r>
      <w:r w:rsidR="00EB74C7">
        <w:t>did not have a capability signalling</w:t>
      </w:r>
      <w:r w:rsidR="00D24731">
        <w:t xml:space="preserve">. </w:t>
      </w:r>
      <w:r w:rsidR="00772A4B">
        <w:t>When these features become optional</w:t>
      </w:r>
      <w:r w:rsidR="003347ED">
        <w:t xml:space="preserve"> for IAB-MTs</w:t>
      </w:r>
      <w:r w:rsidR="00772A4B">
        <w:t xml:space="preserve">, the question </w:t>
      </w:r>
      <w:r w:rsidR="003347ED">
        <w:t xml:space="preserve">of </w:t>
      </w:r>
      <w:r w:rsidR="00772A4B">
        <w:t xml:space="preserve">whether a capability bit is </w:t>
      </w:r>
      <w:r w:rsidR="000848B8">
        <w:t xml:space="preserve">needed </w:t>
      </w:r>
      <w:r w:rsidR="00772A4B">
        <w:t xml:space="preserve">can </w:t>
      </w:r>
      <w:r w:rsidR="000848B8">
        <w:t>arise</w:t>
      </w:r>
      <w:r w:rsidR="00772A4B">
        <w:t>.</w:t>
      </w:r>
    </w:p>
    <w:p w14:paraId="42211E0D" w14:textId="314D27DE" w:rsidR="007B61BB" w:rsidRDefault="000848B8" w:rsidP="007B61BB">
      <w:pPr>
        <w:pStyle w:val="BodyText"/>
      </w:pPr>
      <w:r>
        <w:t>In principle, there is no problem regardless of that a capability is introduced in release 16 or it is not introduced</w:t>
      </w:r>
      <w:r w:rsidR="00EB74C7">
        <w:t xml:space="preserve">. As argued at the beginning of the contribution, </w:t>
      </w:r>
      <w:r w:rsidR="00004782">
        <w:t xml:space="preserve">the </w:t>
      </w:r>
      <w:r w:rsidR="00EB74C7">
        <w:t xml:space="preserve">features </w:t>
      </w:r>
      <w:r w:rsidR="00004782">
        <w:t xml:space="preserve">supported by an IAB node will be discussed and </w:t>
      </w:r>
      <w:r w:rsidR="00004782">
        <w:t xml:space="preserve">agreed by an operator and a vendor; thus, all the features </w:t>
      </w:r>
      <w:r w:rsidR="00B748BD">
        <w:t xml:space="preserve">would </w:t>
      </w:r>
      <w:r w:rsidR="00004782">
        <w:t xml:space="preserve">be known </w:t>
      </w:r>
      <w:r w:rsidR="00B748BD">
        <w:t xml:space="preserve">beforehand even if they had not been reported. If specification impact is to be limited, no capabilities </w:t>
      </w:r>
      <w:r w:rsidR="007607D7">
        <w:t>need to</w:t>
      </w:r>
      <w:r w:rsidR="009D1730">
        <w:t xml:space="preserve"> be </w:t>
      </w:r>
      <w:r w:rsidR="00B748BD">
        <w:t>introduced</w:t>
      </w:r>
      <w:r w:rsidR="00EC3178">
        <w:t xml:space="preserve"> but, if </w:t>
      </w:r>
      <w:r w:rsidR="009D1730">
        <w:t xml:space="preserve">it is considered </w:t>
      </w:r>
      <w:r w:rsidR="00EC3178">
        <w:t xml:space="preserve">beneficial, they </w:t>
      </w:r>
      <w:r w:rsidR="009D1730">
        <w:t xml:space="preserve">could </w:t>
      </w:r>
      <w:r w:rsidR="00EC3178">
        <w:t>be introduced.</w:t>
      </w:r>
    </w:p>
    <w:p w14:paraId="1B7E30D3" w14:textId="55E03067" w:rsidR="00EC3178" w:rsidRDefault="009D1730" w:rsidP="007607D7">
      <w:pPr>
        <w:pStyle w:val="Proposal"/>
      </w:pPr>
      <w:bookmarkStart w:id="14" w:name="_Toc37319297"/>
      <w:r>
        <w:t xml:space="preserve">Discuss if </w:t>
      </w:r>
      <w:r w:rsidR="00E22AA7">
        <w:t xml:space="preserve">capability bits are required for </w:t>
      </w:r>
      <w:r w:rsidR="003B5519">
        <w:t xml:space="preserve">IABs for </w:t>
      </w:r>
      <w:r w:rsidR="00E22AA7">
        <w:t xml:space="preserve">the </w:t>
      </w:r>
      <w:r w:rsidR="001A76F3">
        <w:t xml:space="preserve">mandatory </w:t>
      </w:r>
      <w:r w:rsidR="00E22AA7">
        <w:t xml:space="preserve">Rel-15 </w:t>
      </w:r>
      <w:r w:rsidR="001A76F3">
        <w:t xml:space="preserve">UE </w:t>
      </w:r>
      <w:r w:rsidR="00E22AA7">
        <w:t xml:space="preserve">features </w:t>
      </w:r>
      <w:r w:rsidR="001A76F3">
        <w:t xml:space="preserve">not </w:t>
      </w:r>
      <w:r w:rsidR="002C35AC">
        <w:t>deemed basic or essential</w:t>
      </w:r>
      <w:r w:rsidR="00E22AA7">
        <w:t>.</w:t>
      </w:r>
      <w:bookmarkEnd w:id="14"/>
    </w:p>
    <w:p w14:paraId="680051F6" w14:textId="62D0E449" w:rsidR="00967E97" w:rsidRDefault="00477E73" w:rsidP="00967E97">
      <w:pPr>
        <w:pStyle w:val="Heading2"/>
      </w:pPr>
      <w:r>
        <w:t>2.2</w:t>
      </w:r>
      <w:r>
        <w:tab/>
      </w:r>
      <w:r w:rsidR="00D529F0">
        <w:t xml:space="preserve">Other type of </w:t>
      </w:r>
      <w:r w:rsidR="00967E97">
        <w:t>IAB nodes</w:t>
      </w:r>
    </w:p>
    <w:p w14:paraId="13A18A4F" w14:textId="5B841665" w:rsidR="009250DF" w:rsidRDefault="0040774E" w:rsidP="004A6EC9">
      <w:pPr>
        <w:pStyle w:val="BodyText"/>
      </w:pPr>
      <w:r>
        <w:t xml:space="preserve">RAN4 is discussing other types of IAB nodes, the purpose, deployment, </w:t>
      </w:r>
      <w:r w:rsidR="004A6EC9">
        <w:t xml:space="preserve">etc. </w:t>
      </w:r>
      <w:r w:rsidR="008413D7">
        <w:t>Three</w:t>
      </w:r>
      <w:r w:rsidR="00841402">
        <w:t xml:space="preserve"> of the main characteristics which may differentiate wide-area IABs and other type of IABs</w:t>
      </w:r>
      <w:r w:rsidR="00AF0880">
        <w:t xml:space="preserve"> may be</w:t>
      </w:r>
      <w:r w:rsidR="008A50D4">
        <w:t>:</w:t>
      </w:r>
      <w:r w:rsidR="00AF0880">
        <w:t xml:space="preserve"> </w:t>
      </w:r>
    </w:p>
    <w:p w14:paraId="67F425DA" w14:textId="1D7D63F1" w:rsidR="00455440" w:rsidRDefault="009250DF" w:rsidP="009250DF">
      <w:pPr>
        <w:pStyle w:val="BodyText"/>
        <w:numPr>
          <w:ilvl w:val="0"/>
          <w:numId w:val="25"/>
        </w:numPr>
      </w:pPr>
      <w:r>
        <w:t>O</w:t>
      </w:r>
      <w:r w:rsidR="00360E65">
        <w:t xml:space="preserve">ther type of </w:t>
      </w:r>
      <w:r w:rsidR="00841402">
        <w:t xml:space="preserve">nodes are </w:t>
      </w:r>
      <w:r w:rsidR="00360E65">
        <w:t xml:space="preserve">not </w:t>
      </w:r>
      <w:r w:rsidR="00841402">
        <w:t>deployed in a planned manner</w:t>
      </w:r>
      <w:r w:rsidR="00455440">
        <w:t>.</w:t>
      </w:r>
    </w:p>
    <w:p w14:paraId="4BDA5A5D" w14:textId="766BAAAD" w:rsidR="00455440" w:rsidRDefault="00455440" w:rsidP="009250DF">
      <w:pPr>
        <w:pStyle w:val="BodyText"/>
        <w:numPr>
          <w:ilvl w:val="0"/>
          <w:numId w:val="25"/>
        </w:numPr>
      </w:pPr>
      <w:r>
        <w:t>O</w:t>
      </w:r>
      <w:r w:rsidR="00841402">
        <w:t xml:space="preserve">perators </w:t>
      </w:r>
      <w:r w:rsidR="008A50D4">
        <w:t xml:space="preserve">may </w:t>
      </w:r>
      <w:r w:rsidR="00841402">
        <w:t xml:space="preserve">have </w:t>
      </w:r>
      <w:r w:rsidR="00360E65">
        <w:t>no</w:t>
      </w:r>
      <w:r>
        <w:t xml:space="preserve"> or </w:t>
      </w:r>
      <w:r w:rsidR="00360E65">
        <w:t xml:space="preserve">limited </w:t>
      </w:r>
      <w:r w:rsidR="00841402">
        <w:t>control o</w:t>
      </w:r>
      <w:r w:rsidR="008A50D4">
        <w:t>ver</w:t>
      </w:r>
      <w:r w:rsidR="00841402">
        <w:t xml:space="preserve"> these nodes</w:t>
      </w:r>
      <w:r>
        <w:t>.</w:t>
      </w:r>
    </w:p>
    <w:p w14:paraId="2C47191E" w14:textId="2B185962" w:rsidR="003420C8" w:rsidRDefault="00455440" w:rsidP="009250DF">
      <w:pPr>
        <w:pStyle w:val="BodyText"/>
        <w:numPr>
          <w:ilvl w:val="0"/>
          <w:numId w:val="25"/>
        </w:numPr>
      </w:pPr>
      <w:r>
        <w:t>T</w:t>
      </w:r>
      <w:r w:rsidR="008413D7">
        <w:t>he purpose of it</w:t>
      </w:r>
      <w:r w:rsidR="00777423">
        <w:t xml:space="preserve"> (e.g. deployment for capacity or coverage</w:t>
      </w:r>
      <w:r w:rsidR="00D91A56">
        <w:t>)</w:t>
      </w:r>
      <w:r w:rsidR="00841402">
        <w:t>.</w:t>
      </w:r>
      <w:r w:rsidR="00762147">
        <w:t xml:space="preserve"> </w:t>
      </w:r>
    </w:p>
    <w:p w14:paraId="355CC171" w14:textId="42149FE6" w:rsidR="00035F48" w:rsidRDefault="00FB494C" w:rsidP="003420C8">
      <w:pPr>
        <w:pStyle w:val="BodyText"/>
      </w:pPr>
      <w:r>
        <w:t xml:space="preserve">Considering </w:t>
      </w:r>
      <w:r w:rsidR="008413D7">
        <w:t xml:space="preserve">these </w:t>
      </w:r>
      <w:r w:rsidR="00A648D7">
        <w:t>characteristics</w:t>
      </w:r>
      <w:r w:rsidR="00762147">
        <w:t>, the requirements on these nodes may need to be higher than for IAB nodes</w:t>
      </w:r>
      <w:r w:rsidR="004E3DAB">
        <w:t xml:space="preserve"> to secure a minimum operatio</w:t>
      </w:r>
      <w:r w:rsidR="009515CC">
        <w:t>n</w:t>
      </w:r>
      <w:r w:rsidR="00801C24">
        <w:t xml:space="preserve"> in any network in which is deployed</w:t>
      </w:r>
      <w:r w:rsidR="00264844">
        <w:t>.</w:t>
      </w:r>
    </w:p>
    <w:p w14:paraId="03B38A65" w14:textId="09C2B15E" w:rsidR="006F5F49" w:rsidRDefault="006F5F49" w:rsidP="004A6EC9">
      <w:pPr>
        <w:pStyle w:val="BodyText"/>
      </w:pPr>
      <w:r>
        <w:t xml:space="preserve">At this moment, RAN4 has not yet decided what exactly defines other type of IAB nodes so it is challenging to </w:t>
      </w:r>
      <w:r>
        <w:t xml:space="preserve">decide </w:t>
      </w:r>
      <w:r w:rsidR="00471205">
        <w:t xml:space="preserve">the minimum set of essential features for this type of IAB nodes. </w:t>
      </w:r>
      <w:r w:rsidR="00AD64B8">
        <w:t xml:space="preserve"> </w:t>
      </w:r>
      <w:r w:rsidR="00F03E0E">
        <w:t>RAN2 could follow one of the following approaches:</w:t>
      </w:r>
    </w:p>
    <w:p w14:paraId="63064C62" w14:textId="6A34E1D3" w:rsidR="00F03E0E" w:rsidRDefault="00BF629B" w:rsidP="00F03E0E">
      <w:pPr>
        <w:pStyle w:val="BodyText"/>
        <w:numPr>
          <w:ilvl w:val="0"/>
          <w:numId w:val="23"/>
        </w:numPr>
      </w:pPr>
      <w:r>
        <w:t xml:space="preserve">The mandatoriness of features for other type of IAB nodes are discussed when RAN4 agrees on </w:t>
      </w:r>
      <w:r w:rsidR="00911A0B">
        <w:t xml:space="preserve">a </w:t>
      </w:r>
      <w:r w:rsidR="00DE62E6">
        <w:t xml:space="preserve">definition for </w:t>
      </w:r>
      <w:r w:rsidR="00911A0B">
        <w:t>this other type of nodes</w:t>
      </w:r>
      <w:r w:rsidR="000E6B90">
        <w:t>, or</w:t>
      </w:r>
    </w:p>
    <w:p w14:paraId="39CA679D" w14:textId="3E778E13" w:rsidR="008F5844" w:rsidRDefault="004D6BE7" w:rsidP="00F03E0E">
      <w:pPr>
        <w:pStyle w:val="BodyText"/>
        <w:numPr>
          <w:ilvl w:val="0"/>
          <w:numId w:val="23"/>
        </w:numPr>
      </w:pPr>
      <w:r>
        <w:t xml:space="preserve">Assume that other type of IAB nodes are </w:t>
      </w:r>
      <w:r w:rsidR="00DD1EDC">
        <w:t>not necessarily under operator control</w:t>
      </w:r>
      <w:r w:rsidR="00B84C6F">
        <w:t xml:space="preserve"> </w:t>
      </w:r>
      <w:r w:rsidR="000E6B90">
        <w:t>and deployed in a planned manner</w:t>
      </w:r>
      <w:r w:rsidR="00777A8A">
        <w:t xml:space="preserve">, and </w:t>
      </w:r>
      <w:r w:rsidR="00AC1A2A">
        <w:t xml:space="preserve">discuss </w:t>
      </w:r>
      <w:r w:rsidR="00791F76">
        <w:t xml:space="preserve">the </w:t>
      </w:r>
      <w:r w:rsidR="00AC1A2A">
        <w:t xml:space="preserve">minimum </w:t>
      </w:r>
      <w:r w:rsidR="00791F76">
        <w:t xml:space="preserve">needed </w:t>
      </w:r>
      <w:r w:rsidR="00AC1A2A">
        <w:t>features</w:t>
      </w:r>
      <w:r w:rsidR="00791F76">
        <w:t>, or</w:t>
      </w:r>
    </w:p>
    <w:p w14:paraId="60738C1E" w14:textId="45668230" w:rsidR="00AC1A2A" w:rsidRDefault="00835F08" w:rsidP="00F03E0E">
      <w:pPr>
        <w:pStyle w:val="BodyText"/>
        <w:numPr>
          <w:ilvl w:val="0"/>
          <w:numId w:val="23"/>
        </w:numPr>
      </w:pPr>
      <w:r>
        <w:t xml:space="preserve">Assume that </w:t>
      </w:r>
      <w:r w:rsidR="002D2AAD">
        <w:t xml:space="preserve">the same </w:t>
      </w:r>
      <w:r w:rsidR="00584B0A">
        <w:t xml:space="preserve">mandatoriness of </w:t>
      </w:r>
      <w:r>
        <w:t xml:space="preserve">Rel-15 UE features apply </w:t>
      </w:r>
      <w:r w:rsidR="009F590D">
        <w:t>to other type of IAB nodes.</w:t>
      </w:r>
    </w:p>
    <w:p w14:paraId="3D4AF190" w14:textId="5ED8E985" w:rsidR="00187FB2" w:rsidRDefault="00187FB2" w:rsidP="00187FB2">
      <w:pPr>
        <w:pStyle w:val="BodyText"/>
      </w:pPr>
      <w:r>
        <w:t xml:space="preserve">We think that the best approach would be to wait until RAN4 </w:t>
      </w:r>
      <w:r w:rsidR="00E21C9E">
        <w:t>decides the definition or characteristics of</w:t>
      </w:r>
      <w:r>
        <w:t xml:space="preserve"> the other type of IAB nodes.</w:t>
      </w:r>
      <w:r w:rsidR="00BB6676">
        <w:t xml:space="preserve"> Without any indication about what defines other type of IABs, it is not possible to come with a </w:t>
      </w:r>
      <w:r w:rsidR="006A10D5">
        <w:t xml:space="preserve">relevant and justified </w:t>
      </w:r>
      <w:r w:rsidR="00BB6676">
        <w:t>set of mandatory features.</w:t>
      </w:r>
    </w:p>
    <w:p w14:paraId="3F84E2DF" w14:textId="6EBB4725" w:rsidR="00967E97" w:rsidRDefault="007A539F" w:rsidP="00961E6F">
      <w:pPr>
        <w:pStyle w:val="Proposal"/>
      </w:pPr>
      <w:bookmarkStart w:id="15" w:name="_Toc37319298"/>
      <w:r>
        <w:t>RAN2 discusses the mandatoriness of other type of IABs when RAN4 defines t</w:t>
      </w:r>
      <w:r w:rsidR="00233624">
        <w:t>hem</w:t>
      </w:r>
      <w:r w:rsidR="00B166ED">
        <w:t>.</w:t>
      </w:r>
      <w:bookmarkEnd w:id="15"/>
    </w:p>
    <w:p w14:paraId="7FFAC03E" w14:textId="00450D47" w:rsidR="00C01F33" w:rsidRPr="00CE0424" w:rsidRDefault="001E37B3" w:rsidP="00CE0424">
      <w:pPr>
        <w:pStyle w:val="Heading1"/>
      </w:pPr>
      <w:r>
        <w:lastRenderedPageBreak/>
        <w:t>3</w:t>
      </w:r>
      <w:r w:rsidR="00EC4447">
        <w:tab/>
      </w:r>
      <w:r w:rsidR="00C01F33" w:rsidRPr="00CE0424">
        <w:t>Conclusion</w:t>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815A6B" w14:textId="77777777" w:rsidR="003B68E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19291" w:history="1">
        <w:r w:rsidR="003B68E6" w:rsidRPr="007C275D">
          <w:rPr>
            <w:rStyle w:val="Hyperlink"/>
            <w:noProof/>
          </w:rPr>
          <w:t>Proposal 1</w:t>
        </w:r>
        <w:r w:rsidR="003B68E6">
          <w:rPr>
            <w:rFonts w:asciiTheme="minorHAnsi" w:eastAsiaTheme="minorEastAsia" w:hAnsiTheme="minorHAnsi" w:cstheme="minorBidi"/>
            <w:b w:val="0"/>
            <w:noProof/>
            <w:sz w:val="22"/>
            <w:szCs w:val="22"/>
            <w:lang w:val="sv-SE" w:eastAsia="sv-SE"/>
          </w:rPr>
          <w:tab/>
        </w:r>
        <w:r w:rsidR="003B68E6" w:rsidRPr="007C275D">
          <w:rPr>
            <w:rStyle w:val="Hyperlink"/>
            <w:noProof/>
          </w:rPr>
          <w:t>Of the components of feature group index 1-0 only the components related to SRBs (components 2, 3, 4, 6 and SRB parts of component 1) shall be supported by the wide area IAB-MT node.</w:t>
        </w:r>
      </w:hyperlink>
    </w:p>
    <w:p w14:paraId="79769827" w14:textId="77777777" w:rsidR="003B68E6" w:rsidRDefault="001107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19292" w:history="1">
        <w:r w:rsidR="003B68E6" w:rsidRPr="007C275D">
          <w:rPr>
            <w:rStyle w:val="Hyperlink"/>
            <w:noProof/>
          </w:rPr>
          <w:t>Proposal 2</w:t>
        </w:r>
        <w:r w:rsidR="003B68E6">
          <w:rPr>
            <w:rFonts w:asciiTheme="minorHAnsi" w:eastAsiaTheme="minorEastAsia" w:hAnsiTheme="minorHAnsi" w:cstheme="minorBidi"/>
            <w:b w:val="0"/>
            <w:noProof/>
            <w:sz w:val="22"/>
            <w:szCs w:val="22"/>
            <w:lang w:val="sv-SE" w:eastAsia="sv-SE"/>
          </w:rPr>
          <w:tab/>
        </w:r>
        <w:r w:rsidR="003B68E6" w:rsidRPr="007C275D">
          <w:rPr>
            <w:rStyle w:val="Hyperlink"/>
            <w:noProof/>
          </w:rPr>
          <w:t>Feature group index 2-0 shall be supported by wide area IAB-MT node.</w:t>
        </w:r>
      </w:hyperlink>
    </w:p>
    <w:p w14:paraId="55B815D7" w14:textId="77777777" w:rsidR="003B68E6" w:rsidRDefault="001107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19293" w:history="1">
        <w:r w:rsidR="003B68E6" w:rsidRPr="007C275D">
          <w:rPr>
            <w:rStyle w:val="Hyperlink"/>
            <w:noProof/>
          </w:rPr>
          <w:t>Proposal 3</w:t>
        </w:r>
        <w:r w:rsidR="003B68E6">
          <w:rPr>
            <w:rFonts w:asciiTheme="minorHAnsi" w:eastAsiaTheme="minorEastAsia" w:hAnsiTheme="minorHAnsi" w:cstheme="minorBidi"/>
            <w:b w:val="0"/>
            <w:noProof/>
            <w:sz w:val="22"/>
            <w:szCs w:val="22"/>
            <w:lang w:val="sv-SE" w:eastAsia="sv-SE"/>
          </w:rPr>
          <w:tab/>
        </w:r>
        <w:r w:rsidR="003B68E6" w:rsidRPr="007C275D">
          <w:rPr>
            <w:rStyle w:val="Hyperlink"/>
            <w:noProof/>
          </w:rPr>
          <w:t>Feature group index 2-4 shall be supported by wide area IAB-MT node.</w:t>
        </w:r>
      </w:hyperlink>
    </w:p>
    <w:p w14:paraId="122AB4BF" w14:textId="77777777" w:rsidR="003B68E6" w:rsidRDefault="001107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19294" w:history="1">
        <w:r w:rsidR="003B68E6" w:rsidRPr="007C275D">
          <w:rPr>
            <w:rStyle w:val="Hyperlink"/>
            <w:noProof/>
          </w:rPr>
          <w:t>Proposal 4</w:t>
        </w:r>
        <w:r w:rsidR="003B68E6">
          <w:rPr>
            <w:rFonts w:asciiTheme="minorHAnsi" w:eastAsiaTheme="minorEastAsia" w:hAnsiTheme="minorHAnsi" w:cstheme="minorBidi"/>
            <w:b w:val="0"/>
            <w:noProof/>
            <w:sz w:val="22"/>
            <w:szCs w:val="22"/>
            <w:lang w:val="sv-SE" w:eastAsia="sv-SE"/>
          </w:rPr>
          <w:tab/>
        </w:r>
        <w:r w:rsidR="003B68E6" w:rsidRPr="007C275D">
          <w:rPr>
            <w:rStyle w:val="Hyperlink"/>
            <w:noProof/>
          </w:rPr>
          <w:t>Feature group index 3-0 shall be supported by wide area IAB-MT node except for except EN-DC related aspects and those components which RAN1 might also exclude.</w:t>
        </w:r>
      </w:hyperlink>
    </w:p>
    <w:p w14:paraId="0B64BC7C" w14:textId="77777777" w:rsidR="003B68E6" w:rsidRDefault="001107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19295" w:history="1">
        <w:r w:rsidR="003B68E6" w:rsidRPr="007C275D">
          <w:rPr>
            <w:rStyle w:val="Hyperlink"/>
            <w:noProof/>
          </w:rPr>
          <w:t>Proposal 5</w:t>
        </w:r>
        <w:r w:rsidR="003B68E6">
          <w:rPr>
            <w:rFonts w:asciiTheme="minorHAnsi" w:eastAsiaTheme="minorEastAsia" w:hAnsiTheme="minorHAnsi" w:cstheme="minorBidi"/>
            <w:b w:val="0"/>
            <w:noProof/>
            <w:sz w:val="22"/>
            <w:szCs w:val="22"/>
            <w:lang w:val="sv-SE" w:eastAsia="sv-SE"/>
          </w:rPr>
          <w:tab/>
        </w:r>
        <w:r w:rsidR="003B68E6" w:rsidRPr="007C275D">
          <w:rPr>
            <w:rStyle w:val="Hyperlink"/>
            <w:noProof/>
          </w:rPr>
          <w:t>Feature group 9 shall be supported by wide area IAB-MT node, except for those components excluded before e.g. EN-DC.</w:t>
        </w:r>
      </w:hyperlink>
    </w:p>
    <w:p w14:paraId="329FA442" w14:textId="77777777" w:rsidR="003B68E6" w:rsidRDefault="001107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19296" w:history="1">
        <w:r w:rsidR="003B68E6" w:rsidRPr="007C275D">
          <w:rPr>
            <w:rStyle w:val="Hyperlink"/>
            <w:noProof/>
          </w:rPr>
          <w:t>Proposal 6</w:t>
        </w:r>
        <w:r w:rsidR="003B68E6">
          <w:rPr>
            <w:rFonts w:asciiTheme="minorHAnsi" w:eastAsiaTheme="minorEastAsia" w:hAnsiTheme="minorHAnsi" w:cstheme="minorBidi"/>
            <w:b w:val="0"/>
            <w:noProof/>
            <w:sz w:val="22"/>
            <w:szCs w:val="22"/>
            <w:lang w:val="sv-SE" w:eastAsia="sv-SE"/>
          </w:rPr>
          <w:tab/>
        </w:r>
        <w:r w:rsidR="003B68E6" w:rsidRPr="007C275D">
          <w:rPr>
            <w:rStyle w:val="Hyperlink"/>
            <w:noProof/>
          </w:rPr>
          <w:t>All other features not listed in the proposals above are not essential for wide area IAB-MTs and are, therefore, optional.</w:t>
        </w:r>
      </w:hyperlink>
    </w:p>
    <w:p w14:paraId="316D4F32" w14:textId="77777777" w:rsidR="003B68E6" w:rsidRDefault="001107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19297" w:history="1">
        <w:r w:rsidR="003B68E6" w:rsidRPr="007C275D">
          <w:rPr>
            <w:rStyle w:val="Hyperlink"/>
            <w:noProof/>
          </w:rPr>
          <w:t>Proposal 7</w:t>
        </w:r>
        <w:r w:rsidR="003B68E6">
          <w:rPr>
            <w:rFonts w:asciiTheme="minorHAnsi" w:eastAsiaTheme="minorEastAsia" w:hAnsiTheme="minorHAnsi" w:cstheme="minorBidi"/>
            <w:b w:val="0"/>
            <w:noProof/>
            <w:sz w:val="22"/>
            <w:szCs w:val="22"/>
            <w:lang w:val="sv-SE" w:eastAsia="sv-SE"/>
          </w:rPr>
          <w:tab/>
        </w:r>
        <w:r w:rsidR="003B68E6" w:rsidRPr="007C275D">
          <w:rPr>
            <w:rStyle w:val="Hyperlink"/>
            <w:noProof/>
          </w:rPr>
          <w:t>Discuss if capability bits are required for IABs for the mandatory Rel-15 UE features not deemed basic or essential.</w:t>
        </w:r>
      </w:hyperlink>
    </w:p>
    <w:p w14:paraId="4983F520" w14:textId="77777777" w:rsidR="003B68E6" w:rsidRDefault="001107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19298" w:history="1">
        <w:r w:rsidR="003B68E6" w:rsidRPr="007C275D">
          <w:rPr>
            <w:rStyle w:val="Hyperlink"/>
            <w:noProof/>
          </w:rPr>
          <w:t>Proposal 8</w:t>
        </w:r>
        <w:r w:rsidR="003B68E6">
          <w:rPr>
            <w:rFonts w:asciiTheme="minorHAnsi" w:eastAsiaTheme="minorEastAsia" w:hAnsiTheme="minorHAnsi" w:cstheme="minorBidi"/>
            <w:b w:val="0"/>
            <w:noProof/>
            <w:sz w:val="22"/>
            <w:szCs w:val="22"/>
            <w:lang w:val="sv-SE" w:eastAsia="sv-SE"/>
          </w:rPr>
          <w:tab/>
        </w:r>
        <w:r w:rsidR="003B68E6" w:rsidRPr="007C275D">
          <w:rPr>
            <w:rStyle w:val="Hyperlink"/>
            <w:noProof/>
          </w:rPr>
          <w:t>RAN2 discusses the mandatoriness of other type of IABs when RAN4 defines them.</w:t>
        </w:r>
      </w:hyperlink>
    </w:p>
    <w:p w14:paraId="0EFBC115" w14:textId="0FF7B257" w:rsidR="006E1C82" w:rsidRPr="00CE0424" w:rsidRDefault="006E1C82" w:rsidP="006E1C82">
      <w:pPr>
        <w:pStyle w:val="BodyText"/>
        <w:rPr>
          <w:b/>
          <w:bCs/>
        </w:rPr>
      </w:pPr>
      <w:r>
        <w:rPr>
          <w:b/>
          <w:bCs/>
          <w:lang w:val="en-US"/>
        </w:rPr>
        <w:fldChar w:fldCharType="end"/>
      </w:r>
    </w:p>
    <w:p w14:paraId="7B485C79" w14:textId="2C00BF08" w:rsidR="00F507D1" w:rsidRPr="00CE0424" w:rsidRDefault="001E37B3" w:rsidP="00CE0424">
      <w:pPr>
        <w:pStyle w:val="Heading1"/>
      </w:pPr>
      <w:bookmarkStart w:id="16" w:name="_In-sequence_SDU_delivery"/>
      <w:bookmarkEnd w:id="16"/>
      <w:r>
        <w:t>4</w:t>
      </w:r>
      <w:r w:rsidR="00EC4447">
        <w:tab/>
      </w:r>
      <w:r w:rsidR="00F507D1" w:rsidRPr="00CE0424">
        <w:t>References</w:t>
      </w:r>
    </w:p>
    <w:p w14:paraId="3A985D3E" w14:textId="3B979482" w:rsidR="00704053" w:rsidRDefault="00F374D3" w:rsidP="00704053">
      <w:pPr>
        <w:pStyle w:val="Reference"/>
      </w:pPr>
      <w:bookmarkStart w:id="17" w:name="_Ref174151459"/>
      <w:bookmarkStart w:id="18" w:name="_Ref189809556"/>
      <w:r w:rsidRPr="00F374D3">
        <w:t>R4-1916149</w:t>
      </w:r>
      <w:r w:rsidR="00704053">
        <w:t>, WF for IAB DC/CA requirements</w:t>
      </w:r>
      <w:r w:rsidR="002B1BBC">
        <w:t>.</w:t>
      </w:r>
    </w:p>
    <w:p w14:paraId="490BC948" w14:textId="07C6F595" w:rsidR="00451BFF" w:rsidRDefault="00451BFF" w:rsidP="00887541">
      <w:pPr>
        <w:pStyle w:val="Heading1"/>
      </w:pPr>
      <w:bookmarkStart w:id="19" w:name="_GoBack"/>
      <w:bookmarkEnd w:id="17"/>
      <w:bookmarkEnd w:id="18"/>
      <w:bookmarkEnd w:id="19"/>
      <w:r>
        <w:t xml:space="preserve">Annex </w:t>
      </w:r>
    </w:p>
    <w:p w14:paraId="76C81C88" w14:textId="5D592407" w:rsidR="00451BFF" w:rsidRDefault="001C0BA7" w:rsidP="00CE0424">
      <w:pPr>
        <w:pStyle w:val="BodyText"/>
      </w:pPr>
      <w:r>
        <w:t>This section contains a digested version of all the capabilities and features outlined in TR 38.822. Only the mandatory L2 features are listed here.</w:t>
      </w:r>
    </w:p>
    <w:p w14:paraId="332E7C38" w14:textId="77777777" w:rsidR="00451BFF" w:rsidRDefault="00451BFF">
      <w:pPr>
        <w:overflowPunct/>
        <w:autoSpaceDE/>
        <w:autoSpaceDN/>
        <w:adjustRightInd/>
        <w:spacing w:after="0"/>
        <w:textAlignment w:val="auto"/>
        <w:rPr>
          <w:rFonts w:ascii="Arial" w:hAnsi="Arial"/>
          <w:lang w:eastAsia="zh-CN"/>
        </w:rPr>
      </w:pPr>
      <w:r>
        <w:br w:type="page"/>
      </w:r>
    </w:p>
    <w:p w14:paraId="766F5176" w14:textId="77777777" w:rsidR="00451BFF" w:rsidRDefault="00451BFF" w:rsidP="00451BFF">
      <w:pPr>
        <w:keepNext/>
        <w:keepLines/>
        <w:spacing w:after="0"/>
        <w:jc w:val="center"/>
        <w:rPr>
          <w:rFonts w:ascii="Arial" w:hAnsi="Arial"/>
          <w:b/>
          <w:sz w:val="18"/>
        </w:rPr>
        <w:sectPr w:rsidR="00451BF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tbl>
      <w:tblPr>
        <w:tblW w:w="151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582"/>
        <w:gridCol w:w="1143"/>
        <w:gridCol w:w="2364"/>
        <w:gridCol w:w="1026"/>
        <w:gridCol w:w="1555"/>
        <w:gridCol w:w="2372"/>
        <w:gridCol w:w="1150"/>
        <w:gridCol w:w="1150"/>
        <w:gridCol w:w="1166"/>
        <w:gridCol w:w="1531"/>
      </w:tblGrid>
      <w:tr w:rsidR="007A4931" w:rsidRPr="00FE2E83" w14:paraId="0DE35916" w14:textId="77777777" w:rsidTr="001C0BA7">
        <w:trPr>
          <w:tblHeader/>
        </w:trPr>
        <w:tc>
          <w:tcPr>
            <w:tcW w:w="1142" w:type="dxa"/>
          </w:tcPr>
          <w:p w14:paraId="1960410C" w14:textId="5030AD25"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lastRenderedPageBreak/>
              <w:t>Features</w:t>
            </w:r>
          </w:p>
        </w:tc>
        <w:tc>
          <w:tcPr>
            <w:tcW w:w="582" w:type="dxa"/>
          </w:tcPr>
          <w:p w14:paraId="1CAC2587"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Index</w:t>
            </w:r>
          </w:p>
        </w:tc>
        <w:tc>
          <w:tcPr>
            <w:tcW w:w="1143" w:type="dxa"/>
          </w:tcPr>
          <w:p w14:paraId="1328806A"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Feature group</w:t>
            </w:r>
          </w:p>
        </w:tc>
        <w:tc>
          <w:tcPr>
            <w:tcW w:w="2364" w:type="dxa"/>
          </w:tcPr>
          <w:p w14:paraId="13D32A38"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Components</w:t>
            </w:r>
          </w:p>
        </w:tc>
        <w:tc>
          <w:tcPr>
            <w:tcW w:w="1026" w:type="dxa"/>
          </w:tcPr>
          <w:p w14:paraId="2707534D"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Prerequisite feature groups</w:t>
            </w:r>
          </w:p>
        </w:tc>
        <w:tc>
          <w:tcPr>
            <w:tcW w:w="1555" w:type="dxa"/>
          </w:tcPr>
          <w:p w14:paraId="5F138A36"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Field name in TS 38.331 [2]</w:t>
            </w:r>
          </w:p>
        </w:tc>
        <w:tc>
          <w:tcPr>
            <w:tcW w:w="2372" w:type="dxa"/>
          </w:tcPr>
          <w:p w14:paraId="0BAA2046"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Parent IE in TS 38.331 [2]</w:t>
            </w:r>
          </w:p>
        </w:tc>
        <w:tc>
          <w:tcPr>
            <w:tcW w:w="1150" w:type="dxa"/>
          </w:tcPr>
          <w:p w14:paraId="18A4CB10"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Need of FDD/TDD differentiation</w:t>
            </w:r>
          </w:p>
        </w:tc>
        <w:tc>
          <w:tcPr>
            <w:tcW w:w="1150" w:type="dxa"/>
          </w:tcPr>
          <w:p w14:paraId="050EF00B"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Need of FR1/FR2 differentiation</w:t>
            </w:r>
          </w:p>
        </w:tc>
        <w:tc>
          <w:tcPr>
            <w:tcW w:w="1166" w:type="dxa"/>
          </w:tcPr>
          <w:p w14:paraId="291B978F"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Note</w:t>
            </w:r>
          </w:p>
        </w:tc>
        <w:tc>
          <w:tcPr>
            <w:tcW w:w="1531" w:type="dxa"/>
          </w:tcPr>
          <w:p w14:paraId="22922051" w14:textId="77777777" w:rsidR="007A4931" w:rsidRPr="001045E3" w:rsidRDefault="007A4931" w:rsidP="00451BFF">
            <w:pPr>
              <w:keepNext/>
              <w:keepLines/>
              <w:spacing w:after="0"/>
              <w:jc w:val="center"/>
              <w:rPr>
                <w:rFonts w:ascii="Arial" w:hAnsi="Arial"/>
                <w:b/>
                <w:sz w:val="14"/>
                <w:szCs w:val="16"/>
              </w:rPr>
            </w:pPr>
            <w:r w:rsidRPr="001045E3">
              <w:rPr>
                <w:rFonts w:ascii="Arial" w:hAnsi="Arial"/>
                <w:b/>
                <w:sz w:val="14"/>
                <w:szCs w:val="16"/>
              </w:rPr>
              <w:t>Mandatory/Optional</w:t>
            </w:r>
          </w:p>
        </w:tc>
      </w:tr>
      <w:tr w:rsidR="007A4931" w:rsidRPr="00FE2E83" w14:paraId="372158C0" w14:textId="77777777" w:rsidTr="001C0BA7">
        <w:trPr>
          <w:tblHeader/>
        </w:trPr>
        <w:tc>
          <w:tcPr>
            <w:tcW w:w="1142" w:type="dxa"/>
            <w:vMerge w:val="restart"/>
          </w:tcPr>
          <w:p w14:paraId="65DD62D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 General (including supported bearer types)</w:t>
            </w:r>
          </w:p>
        </w:tc>
        <w:tc>
          <w:tcPr>
            <w:tcW w:w="582" w:type="dxa"/>
          </w:tcPr>
          <w:p w14:paraId="7926386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0-0</w:t>
            </w:r>
          </w:p>
        </w:tc>
        <w:tc>
          <w:tcPr>
            <w:tcW w:w="1143" w:type="dxa"/>
          </w:tcPr>
          <w:p w14:paraId="4A4FE21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Basic EN-DC procedures</w:t>
            </w:r>
          </w:p>
        </w:tc>
        <w:tc>
          <w:tcPr>
            <w:tcW w:w="2364" w:type="dxa"/>
          </w:tcPr>
          <w:p w14:paraId="75A1C8F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MCG DRB with LTE/NR PDCP</w:t>
            </w:r>
          </w:p>
          <w:p w14:paraId="5AA6F36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w:t>
            </w:r>
            <w:r w:rsidRPr="005755FB">
              <w:rPr>
                <w:rFonts w:ascii="Arial" w:hAnsi="Arial"/>
                <w:sz w:val="14"/>
                <w:szCs w:val="16"/>
              </w:rPr>
              <w:t>) SCG DRB with NR PDCP</w:t>
            </w:r>
          </w:p>
          <w:p w14:paraId="51D3E00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SN addition, modification, and release via RRC connection reconfiguration</w:t>
            </w:r>
          </w:p>
          <w:p w14:paraId="484635D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Joint processing on the combined RRC messages</w:t>
            </w:r>
          </w:p>
          <w:p w14:paraId="488BABD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Failure handling (including both MN and SN)</w:t>
            </w:r>
          </w:p>
        </w:tc>
        <w:tc>
          <w:tcPr>
            <w:tcW w:w="1026" w:type="dxa"/>
          </w:tcPr>
          <w:p w14:paraId="314CBFFC" w14:textId="77777777" w:rsidR="007A4931" w:rsidRPr="00FE2E83" w:rsidRDefault="007A4931" w:rsidP="00451BFF">
            <w:pPr>
              <w:keepNext/>
              <w:keepLines/>
              <w:spacing w:after="0"/>
              <w:rPr>
                <w:rFonts w:ascii="Arial" w:hAnsi="Arial"/>
                <w:sz w:val="14"/>
                <w:szCs w:val="16"/>
              </w:rPr>
            </w:pPr>
          </w:p>
        </w:tc>
        <w:tc>
          <w:tcPr>
            <w:tcW w:w="1555" w:type="dxa"/>
          </w:tcPr>
          <w:p w14:paraId="686DEEB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5C6B462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A6F536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BDFA5A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DE3E971" w14:textId="77777777" w:rsidR="007A4931" w:rsidRPr="00FE2E83" w:rsidRDefault="007A4931" w:rsidP="00451BFF">
            <w:pPr>
              <w:keepNext/>
              <w:keepLines/>
              <w:spacing w:after="0"/>
              <w:rPr>
                <w:rFonts w:ascii="Arial" w:hAnsi="Arial"/>
                <w:sz w:val="14"/>
                <w:szCs w:val="16"/>
              </w:rPr>
            </w:pPr>
          </w:p>
        </w:tc>
        <w:tc>
          <w:tcPr>
            <w:tcW w:w="1531" w:type="dxa"/>
          </w:tcPr>
          <w:p w14:paraId="7B7F56BC"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65FEAD8D" w14:textId="77777777" w:rsidTr="001C0BA7">
        <w:trPr>
          <w:tblHeader/>
        </w:trPr>
        <w:tc>
          <w:tcPr>
            <w:tcW w:w="1142" w:type="dxa"/>
            <w:vMerge/>
          </w:tcPr>
          <w:p w14:paraId="305A99E5" w14:textId="77777777" w:rsidR="007A4931" w:rsidRPr="00FE2E83" w:rsidRDefault="007A4931" w:rsidP="00451BFF">
            <w:pPr>
              <w:keepNext/>
              <w:keepLines/>
              <w:spacing w:after="0"/>
              <w:rPr>
                <w:rFonts w:ascii="Arial" w:hAnsi="Arial"/>
                <w:sz w:val="14"/>
                <w:szCs w:val="16"/>
              </w:rPr>
            </w:pPr>
          </w:p>
        </w:tc>
        <w:tc>
          <w:tcPr>
            <w:tcW w:w="582" w:type="dxa"/>
          </w:tcPr>
          <w:p w14:paraId="1ECEA0F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0-2</w:t>
            </w:r>
          </w:p>
        </w:tc>
        <w:tc>
          <w:tcPr>
            <w:tcW w:w="1143" w:type="dxa"/>
          </w:tcPr>
          <w:p w14:paraId="7800DA3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SRB</w:t>
            </w:r>
          </w:p>
        </w:tc>
        <w:tc>
          <w:tcPr>
            <w:tcW w:w="2364" w:type="dxa"/>
          </w:tcPr>
          <w:p w14:paraId="53C1928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Split SRB with one UL path</w:t>
            </w:r>
          </w:p>
          <w:p w14:paraId="441F37C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SRB3</w:t>
            </w:r>
          </w:p>
        </w:tc>
        <w:tc>
          <w:tcPr>
            <w:tcW w:w="1026" w:type="dxa"/>
          </w:tcPr>
          <w:p w14:paraId="7CAAEAD5" w14:textId="77777777" w:rsidR="007A4931" w:rsidRPr="00FE2E83" w:rsidRDefault="007A4931" w:rsidP="00451BFF">
            <w:pPr>
              <w:keepNext/>
              <w:keepLines/>
              <w:spacing w:after="0"/>
              <w:rPr>
                <w:rFonts w:ascii="Arial" w:hAnsi="Arial"/>
                <w:sz w:val="14"/>
                <w:szCs w:val="16"/>
              </w:rPr>
            </w:pPr>
          </w:p>
        </w:tc>
        <w:tc>
          <w:tcPr>
            <w:tcW w:w="1555" w:type="dxa"/>
          </w:tcPr>
          <w:p w14:paraId="43FFFA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splitSRB-WithOneUL-Path</w:t>
            </w:r>
          </w:p>
          <w:p w14:paraId="4E27696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w:t>
            </w:r>
            <w:r w:rsidRPr="00FE2E83">
              <w:rPr>
                <w:rFonts w:ascii="Arial" w:hAnsi="Arial"/>
                <w:i/>
                <w:sz w:val="14"/>
                <w:szCs w:val="16"/>
              </w:rPr>
              <w:t>srb3</w:t>
            </w:r>
          </w:p>
        </w:tc>
        <w:tc>
          <w:tcPr>
            <w:tcW w:w="2372" w:type="dxa"/>
          </w:tcPr>
          <w:p w14:paraId="5903A195"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GeneralParametersMRDC-XDD-Diff</w:t>
            </w:r>
          </w:p>
        </w:tc>
        <w:tc>
          <w:tcPr>
            <w:tcW w:w="1150" w:type="dxa"/>
          </w:tcPr>
          <w:p w14:paraId="7B5AB30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61942FC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0CFA8DF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Not applied to NE-DC.</w:t>
            </w:r>
          </w:p>
        </w:tc>
        <w:tc>
          <w:tcPr>
            <w:tcW w:w="1531" w:type="dxa"/>
          </w:tcPr>
          <w:p w14:paraId="0323E817"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1) Optional with capability signalling</w:t>
            </w:r>
          </w:p>
          <w:p w14:paraId="138B5ACD"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2) Mandatory with capability signalling</w:t>
            </w:r>
          </w:p>
        </w:tc>
      </w:tr>
      <w:tr w:rsidR="007A4931" w:rsidRPr="00FE2E83" w14:paraId="02679F53" w14:textId="77777777" w:rsidTr="001C0BA7">
        <w:trPr>
          <w:tblHeader/>
        </w:trPr>
        <w:tc>
          <w:tcPr>
            <w:tcW w:w="1142" w:type="dxa"/>
            <w:vMerge/>
          </w:tcPr>
          <w:p w14:paraId="7654F94C" w14:textId="77777777" w:rsidR="007A4931" w:rsidRPr="00FE2E83" w:rsidRDefault="007A4931" w:rsidP="00451BFF">
            <w:pPr>
              <w:keepNext/>
              <w:keepLines/>
              <w:spacing w:after="0"/>
              <w:rPr>
                <w:rFonts w:ascii="Arial" w:hAnsi="Arial"/>
                <w:sz w:val="14"/>
                <w:szCs w:val="16"/>
              </w:rPr>
            </w:pPr>
          </w:p>
        </w:tc>
        <w:tc>
          <w:tcPr>
            <w:tcW w:w="582" w:type="dxa"/>
          </w:tcPr>
          <w:p w14:paraId="34ECDB3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0-3</w:t>
            </w:r>
          </w:p>
        </w:tc>
        <w:tc>
          <w:tcPr>
            <w:tcW w:w="1143" w:type="dxa"/>
          </w:tcPr>
          <w:p w14:paraId="7DA2712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DRB</w:t>
            </w:r>
          </w:p>
        </w:tc>
        <w:tc>
          <w:tcPr>
            <w:tcW w:w="2364" w:type="dxa"/>
          </w:tcPr>
          <w:p w14:paraId="5BDC748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Maximum number of DRBs</w:t>
            </w:r>
          </w:p>
          <w:p w14:paraId="3370683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Split DRB with one UL path </w:t>
            </w:r>
          </w:p>
          <w:p w14:paraId="7A59FC4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Split DRB with both UL MCG and SCG paths</w:t>
            </w:r>
          </w:p>
        </w:tc>
        <w:tc>
          <w:tcPr>
            <w:tcW w:w="1026" w:type="dxa"/>
          </w:tcPr>
          <w:p w14:paraId="692F75B9" w14:textId="77777777" w:rsidR="007A4931" w:rsidRPr="00FE2E83" w:rsidRDefault="007A4931" w:rsidP="00451BFF">
            <w:pPr>
              <w:keepNext/>
              <w:keepLines/>
              <w:spacing w:after="0"/>
              <w:rPr>
                <w:rFonts w:ascii="Arial" w:hAnsi="Arial"/>
                <w:sz w:val="14"/>
                <w:szCs w:val="16"/>
              </w:rPr>
            </w:pPr>
          </w:p>
        </w:tc>
        <w:tc>
          <w:tcPr>
            <w:tcW w:w="1555" w:type="dxa"/>
          </w:tcPr>
          <w:p w14:paraId="5CC41CE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2) n/a</w:t>
            </w:r>
          </w:p>
          <w:p w14:paraId="6A9512C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splitDRB-withUL-Both-MCG-SCG</w:t>
            </w:r>
          </w:p>
        </w:tc>
        <w:tc>
          <w:tcPr>
            <w:tcW w:w="2372" w:type="dxa"/>
          </w:tcPr>
          <w:p w14:paraId="73FDF56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2) n/a</w:t>
            </w:r>
          </w:p>
          <w:p w14:paraId="70BBF7C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GeneralParametersMRDC-XDD-Diff</w:t>
            </w:r>
          </w:p>
        </w:tc>
        <w:tc>
          <w:tcPr>
            <w:tcW w:w="1150" w:type="dxa"/>
          </w:tcPr>
          <w:p w14:paraId="761CC62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48EBEAE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1D9F035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8 DRBs are supported regardless of bearer types</w:t>
            </w:r>
          </w:p>
        </w:tc>
        <w:tc>
          <w:tcPr>
            <w:tcW w:w="1531" w:type="dxa"/>
          </w:tcPr>
          <w:p w14:paraId="7851257B"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1, 2) Mandatory without UE capability signalling</w:t>
            </w:r>
          </w:p>
          <w:p w14:paraId="5C17D4F2"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3) Mandatory with capability signalling</w:t>
            </w:r>
          </w:p>
        </w:tc>
      </w:tr>
      <w:tr w:rsidR="007A4931" w:rsidRPr="00FE2E83" w14:paraId="21D0440C" w14:textId="77777777" w:rsidTr="001C0BA7">
        <w:trPr>
          <w:tblHeader/>
        </w:trPr>
        <w:tc>
          <w:tcPr>
            <w:tcW w:w="1142" w:type="dxa"/>
            <w:vMerge/>
          </w:tcPr>
          <w:p w14:paraId="5C57E85A" w14:textId="77777777" w:rsidR="007A4931" w:rsidRPr="00FE2E83" w:rsidRDefault="007A4931" w:rsidP="00451BFF">
            <w:pPr>
              <w:keepNext/>
              <w:keepLines/>
              <w:spacing w:after="0"/>
              <w:rPr>
                <w:rFonts w:ascii="Arial" w:hAnsi="Arial"/>
                <w:sz w:val="14"/>
                <w:szCs w:val="16"/>
              </w:rPr>
            </w:pPr>
          </w:p>
        </w:tc>
        <w:tc>
          <w:tcPr>
            <w:tcW w:w="582" w:type="dxa"/>
          </w:tcPr>
          <w:p w14:paraId="33799D3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0-4</w:t>
            </w:r>
          </w:p>
        </w:tc>
        <w:tc>
          <w:tcPr>
            <w:tcW w:w="1143" w:type="dxa"/>
          </w:tcPr>
          <w:p w14:paraId="5B9018C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Direct SN addition in the first RRC connection reconfiguration after RRC connection establishment</w:t>
            </w:r>
          </w:p>
        </w:tc>
        <w:tc>
          <w:tcPr>
            <w:tcW w:w="2364" w:type="dxa"/>
          </w:tcPr>
          <w:p w14:paraId="421331B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Direct SN addition in the first RRC connection reconfiguration after RRC connection establishment</w:t>
            </w:r>
          </w:p>
        </w:tc>
        <w:tc>
          <w:tcPr>
            <w:tcW w:w="1026" w:type="dxa"/>
          </w:tcPr>
          <w:p w14:paraId="7566B50F" w14:textId="77777777" w:rsidR="007A4931" w:rsidRPr="00FE2E83" w:rsidRDefault="007A4931" w:rsidP="00451BFF">
            <w:pPr>
              <w:keepNext/>
              <w:keepLines/>
              <w:spacing w:after="0"/>
              <w:rPr>
                <w:rFonts w:ascii="Arial" w:hAnsi="Arial"/>
                <w:sz w:val="14"/>
                <w:szCs w:val="16"/>
              </w:rPr>
            </w:pPr>
          </w:p>
        </w:tc>
        <w:tc>
          <w:tcPr>
            <w:tcW w:w="1555" w:type="dxa"/>
          </w:tcPr>
          <w:p w14:paraId="003CE52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3B2FE7C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7DC8D2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231ECAD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6F582EC8" w14:textId="77777777" w:rsidR="007A4931" w:rsidRPr="00FE2E83" w:rsidRDefault="007A4931" w:rsidP="00451BFF">
            <w:pPr>
              <w:keepNext/>
              <w:keepLines/>
              <w:spacing w:after="0"/>
              <w:rPr>
                <w:rFonts w:ascii="Arial" w:hAnsi="Arial"/>
                <w:sz w:val="14"/>
                <w:szCs w:val="16"/>
              </w:rPr>
            </w:pPr>
          </w:p>
        </w:tc>
        <w:tc>
          <w:tcPr>
            <w:tcW w:w="1531" w:type="dxa"/>
          </w:tcPr>
          <w:p w14:paraId="2507B3F5"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034F154C" w14:textId="77777777" w:rsidTr="001C0BA7">
        <w:trPr>
          <w:tblHeader/>
        </w:trPr>
        <w:tc>
          <w:tcPr>
            <w:tcW w:w="1142" w:type="dxa"/>
            <w:vMerge/>
          </w:tcPr>
          <w:p w14:paraId="4DCF3D93" w14:textId="77777777" w:rsidR="007A4931" w:rsidRPr="00FE2E83" w:rsidRDefault="007A4931" w:rsidP="00451BFF">
            <w:pPr>
              <w:keepNext/>
              <w:keepLines/>
              <w:spacing w:after="0"/>
              <w:rPr>
                <w:rFonts w:ascii="Arial" w:hAnsi="Arial"/>
                <w:sz w:val="14"/>
                <w:szCs w:val="16"/>
              </w:rPr>
            </w:pPr>
          </w:p>
        </w:tc>
        <w:tc>
          <w:tcPr>
            <w:tcW w:w="582" w:type="dxa"/>
          </w:tcPr>
          <w:p w14:paraId="227A199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0-5</w:t>
            </w:r>
          </w:p>
        </w:tc>
        <w:tc>
          <w:tcPr>
            <w:tcW w:w="1143" w:type="dxa"/>
          </w:tcPr>
          <w:p w14:paraId="413503A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IMS voice</w:t>
            </w:r>
          </w:p>
        </w:tc>
        <w:tc>
          <w:tcPr>
            <w:tcW w:w="2364" w:type="dxa"/>
          </w:tcPr>
          <w:p w14:paraId="29DB292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IMS voice over NR</w:t>
            </w:r>
          </w:p>
          <w:p w14:paraId="57C6186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Fallback HO to LTE for IMS voice</w:t>
            </w:r>
          </w:p>
          <w:p w14:paraId="65A213F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5GC VoLTE</w:t>
            </w:r>
          </w:p>
          <w:p w14:paraId="15E48C3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IMS voice over SCG bearer of NE-DC</w:t>
            </w:r>
          </w:p>
        </w:tc>
        <w:tc>
          <w:tcPr>
            <w:tcW w:w="1026" w:type="dxa"/>
          </w:tcPr>
          <w:p w14:paraId="7BE447F6" w14:textId="77777777" w:rsidR="007A4931" w:rsidRPr="00FE2E83" w:rsidRDefault="007A4931" w:rsidP="00451BFF">
            <w:pPr>
              <w:keepNext/>
              <w:keepLines/>
              <w:spacing w:after="0"/>
              <w:rPr>
                <w:rFonts w:ascii="Arial" w:hAnsi="Arial"/>
                <w:sz w:val="14"/>
                <w:szCs w:val="16"/>
              </w:rPr>
            </w:pPr>
          </w:p>
        </w:tc>
        <w:tc>
          <w:tcPr>
            <w:tcW w:w="1555" w:type="dxa"/>
          </w:tcPr>
          <w:p w14:paraId="7FA99FB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voiceOverNR</w:t>
            </w:r>
          </w:p>
          <w:p w14:paraId="29618A0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voiceOverEUTRA-5GC</w:t>
            </w:r>
          </w:p>
          <w:p w14:paraId="1DF9C25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4) </w:t>
            </w:r>
            <w:r w:rsidRPr="00FE2E83">
              <w:rPr>
                <w:rFonts w:ascii="Arial" w:hAnsi="Arial"/>
                <w:i/>
                <w:sz w:val="14"/>
                <w:szCs w:val="16"/>
              </w:rPr>
              <w:t>voiceOverSCG-BearerEUTRA-5GC</w:t>
            </w:r>
          </w:p>
        </w:tc>
        <w:tc>
          <w:tcPr>
            <w:tcW w:w="2372" w:type="dxa"/>
          </w:tcPr>
          <w:p w14:paraId="11A1E84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IMS-ParametersFRX-Diff</w:t>
            </w:r>
          </w:p>
          <w:p w14:paraId="0B59207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4) </w:t>
            </w:r>
            <w:r w:rsidRPr="00FE2E83">
              <w:rPr>
                <w:rFonts w:ascii="Arial" w:hAnsi="Arial"/>
                <w:i/>
                <w:sz w:val="14"/>
                <w:szCs w:val="16"/>
              </w:rPr>
              <w:t>IMS-ParametersCommon</w:t>
            </w:r>
          </w:p>
        </w:tc>
        <w:tc>
          <w:tcPr>
            <w:tcW w:w="1150" w:type="dxa"/>
          </w:tcPr>
          <w:p w14:paraId="753E8CC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3), 4) No</w:t>
            </w:r>
          </w:p>
        </w:tc>
        <w:tc>
          <w:tcPr>
            <w:tcW w:w="1150" w:type="dxa"/>
          </w:tcPr>
          <w:p w14:paraId="7BABA68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Yes</w:t>
            </w:r>
          </w:p>
          <w:p w14:paraId="03215D9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4) No</w:t>
            </w:r>
          </w:p>
        </w:tc>
        <w:tc>
          <w:tcPr>
            <w:tcW w:w="1166" w:type="dxa"/>
          </w:tcPr>
          <w:p w14:paraId="3210592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2), 3) SA only</w:t>
            </w:r>
          </w:p>
          <w:p w14:paraId="3837F05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NE-DC only</w:t>
            </w:r>
          </w:p>
        </w:tc>
        <w:tc>
          <w:tcPr>
            <w:tcW w:w="1531" w:type="dxa"/>
          </w:tcPr>
          <w:p w14:paraId="550C815D"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1) Mandatory with capability signalling if UE is IMS voice capable in NR SA. Otherwise optional with capability signalling.</w:t>
            </w:r>
          </w:p>
          <w:p w14:paraId="5BCBB05D" w14:textId="77777777" w:rsidR="007A4931" w:rsidRPr="00FB5CF2" w:rsidRDefault="007A4931" w:rsidP="00451BFF">
            <w:pPr>
              <w:keepNext/>
              <w:keepLines/>
              <w:spacing w:after="0"/>
              <w:rPr>
                <w:rFonts w:ascii="Arial" w:hAnsi="Arial"/>
                <w:sz w:val="14"/>
                <w:szCs w:val="16"/>
              </w:rPr>
            </w:pPr>
            <w:r w:rsidRPr="00FB5CF2">
              <w:rPr>
                <w:rFonts w:ascii="Arial" w:hAnsi="Arial"/>
                <w:sz w:val="14"/>
                <w:szCs w:val="16"/>
              </w:rPr>
              <w:t>2) No need for a separate capability signalling.</w:t>
            </w:r>
          </w:p>
          <w:p w14:paraId="3039C8FC"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3) Optional with capability signalling</w:t>
            </w:r>
          </w:p>
          <w:p w14:paraId="33E04649"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4) Optional with capability signalling</w:t>
            </w:r>
          </w:p>
        </w:tc>
      </w:tr>
      <w:tr w:rsidR="007A4931" w:rsidRPr="00FE2E83" w14:paraId="2B3BDB71" w14:textId="77777777" w:rsidTr="001C0BA7">
        <w:trPr>
          <w:tblHeader/>
        </w:trPr>
        <w:tc>
          <w:tcPr>
            <w:tcW w:w="1142" w:type="dxa"/>
            <w:vMerge/>
          </w:tcPr>
          <w:p w14:paraId="57D56CD8" w14:textId="77777777" w:rsidR="007A4931" w:rsidRPr="00FE2E83" w:rsidRDefault="007A4931" w:rsidP="00451BFF">
            <w:pPr>
              <w:keepNext/>
              <w:keepLines/>
              <w:spacing w:after="0"/>
              <w:rPr>
                <w:rFonts w:ascii="Arial" w:hAnsi="Arial"/>
                <w:sz w:val="14"/>
                <w:szCs w:val="16"/>
              </w:rPr>
            </w:pPr>
          </w:p>
        </w:tc>
        <w:tc>
          <w:tcPr>
            <w:tcW w:w="582" w:type="dxa"/>
          </w:tcPr>
          <w:p w14:paraId="31BD8CC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0-7</w:t>
            </w:r>
          </w:p>
        </w:tc>
        <w:tc>
          <w:tcPr>
            <w:tcW w:w="1143" w:type="dxa"/>
          </w:tcPr>
          <w:p w14:paraId="4FCFC21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PCell operation</w:t>
            </w:r>
          </w:p>
        </w:tc>
        <w:tc>
          <w:tcPr>
            <w:tcW w:w="2364" w:type="dxa"/>
          </w:tcPr>
          <w:p w14:paraId="7055742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PCell operation on FR2</w:t>
            </w:r>
          </w:p>
        </w:tc>
        <w:tc>
          <w:tcPr>
            <w:tcW w:w="1026" w:type="dxa"/>
          </w:tcPr>
          <w:p w14:paraId="1955AB73" w14:textId="77777777" w:rsidR="007A4931" w:rsidRPr="00FE2E83" w:rsidRDefault="007A4931" w:rsidP="00451BFF">
            <w:pPr>
              <w:keepNext/>
              <w:keepLines/>
              <w:spacing w:after="0"/>
              <w:rPr>
                <w:rFonts w:ascii="Arial" w:hAnsi="Arial"/>
                <w:sz w:val="14"/>
                <w:szCs w:val="16"/>
              </w:rPr>
            </w:pPr>
          </w:p>
        </w:tc>
        <w:tc>
          <w:tcPr>
            <w:tcW w:w="1555" w:type="dxa"/>
          </w:tcPr>
          <w:p w14:paraId="069F25EF"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pCell-FR2</w:t>
            </w:r>
          </w:p>
        </w:tc>
        <w:tc>
          <w:tcPr>
            <w:tcW w:w="2372" w:type="dxa"/>
          </w:tcPr>
          <w:p w14:paraId="227EFC6C"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Phy-ParametersFR2</w:t>
            </w:r>
          </w:p>
        </w:tc>
        <w:tc>
          <w:tcPr>
            <w:tcW w:w="1150" w:type="dxa"/>
          </w:tcPr>
          <w:p w14:paraId="7CA6705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18314AF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3614F15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5C7C799D"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67760493" w14:textId="77777777" w:rsidTr="001C0BA7">
        <w:trPr>
          <w:tblHeader/>
        </w:trPr>
        <w:tc>
          <w:tcPr>
            <w:tcW w:w="1142" w:type="dxa"/>
            <w:vMerge w:val="restart"/>
          </w:tcPr>
          <w:p w14:paraId="1C822BA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PDCP</w:t>
            </w:r>
          </w:p>
        </w:tc>
        <w:tc>
          <w:tcPr>
            <w:tcW w:w="582" w:type="dxa"/>
          </w:tcPr>
          <w:p w14:paraId="48D0D97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1-0</w:t>
            </w:r>
          </w:p>
        </w:tc>
        <w:tc>
          <w:tcPr>
            <w:tcW w:w="1143" w:type="dxa"/>
          </w:tcPr>
          <w:p w14:paraId="0F338E7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Basic PDCP procedures</w:t>
            </w:r>
          </w:p>
        </w:tc>
        <w:tc>
          <w:tcPr>
            <w:tcW w:w="2364" w:type="dxa"/>
          </w:tcPr>
          <w:p w14:paraId="47EE063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(de)Ciphering on DRB/SRB</w:t>
            </w:r>
          </w:p>
          <w:p w14:paraId="117207D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Integrity protection on SRB</w:t>
            </w:r>
          </w:p>
          <w:p w14:paraId="5EA26C2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Timer based SDU discard</w:t>
            </w:r>
          </w:p>
          <w:p w14:paraId="181B4FB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Re-ordering and in-order delivery</w:t>
            </w:r>
          </w:p>
          <w:p w14:paraId="6ACCC5A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Status reporting</w:t>
            </w:r>
          </w:p>
          <w:p w14:paraId="4CC7E37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 Duplicate discarding</w:t>
            </w:r>
          </w:p>
          <w:p w14:paraId="2B6E753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 18bits SN</w:t>
            </w:r>
          </w:p>
        </w:tc>
        <w:tc>
          <w:tcPr>
            <w:tcW w:w="1026" w:type="dxa"/>
          </w:tcPr>
          <w:p w14:paraId="4792C9A5" w14:textId="77777777" w:rsidR="007A4931" w:rsidRPr="00FE2E83" w:rsidRDefault="007A4931" w:rsidP="00451BFF">
            <w:pPr>
              <w:keepNext/>
              <w:keepLines/>
              <w:spacing w:after="0"/>
              <w:rPr>
                <w:rFonts w:ascii="Arial" w:hAnsi="Arial"/>
                <w:sz w:val="14"/>
                <w:szCs w:val="16"/>
              </w:rPr>
            </w:pPr>
          </w:p>
        </w:tc>
        <w:tc>
          <w:tcPr>
            <w:tcW w:w="1555" w:type="dxa"/>
          </w:tcPr>
          <w:p w14:paraId="654E878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10B2E01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94B070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0E5A68E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3D76031C" w14:textId="77777777" w:rsidR="007A4931" w:rsidRPr="00FE2E83" w:rsidRDefault="007A4931" w:rsidP="00451BFF">
            <w:pPr>
              <w:keepNext/>
              <w:keepLines/>
              <w:spacing w:after="0"/>
              <w:rPr>
                <w:rFonts w:ascii="Arial" w:hAnsi="Arial"/>
                <w:sz w:val="14"/>
                <w:szCs w:val="16"/>
              </w:rPr>
            </w:pPr>
          </w:p>
        </w:tc>
        <w:tc>
          <w:tcPr>
            <w:tcW w:w="1531" w:type="dxa"/>
          </w:tcPr>
          <w:p w14:paraId="736229AD"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3FF9CB39" w14:textId="77777777" w:rsidTr="001C0BA7">
        <w:trPr>
          <w:tblHeader/>
        </w:trPr>
        <w:tc>
          <w:tcPr>
            <w:tcW w:w="1142" w:type="dxa"/>
            <w:vMerge/>
          </w:tcPr>
          <w:p w14:paraId="38E8D365" w14:textId="77777777" w:rsidR="007A4931" w:rsidRPr="00FE2E83" w:rsidRDefault="007A4931" w:rsidP="00451BFF">
            <w:pPr>
              <w:keepNext/>
              <w:keepLines/>
              <w:spacing w:after="0"/>
              <w:rPr>
                <w:rFonts w:ascii="Arial" w:hAnsi="Arial"/>
                <w:sz w:val="14"/>
                <w:szCs w:val="16"/>
              </w:rPr>
            </w:pPr>
          </w:p>
        </w:tc>
        <w:tc>
          <w:tcPr>
            <w:tcW w:w="582" w:type="dxa"/>
          </w:tcPr>
          <w:p w14:paraId="5702A6E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1-5</w:t>
            </w:r>
          </w:p>
        </w:tc>
        <w:tc>
          <w:tcPr>
            <w:tcW w:w="1143" w:type="dxa"/>
          </w:tcPr>
          <w:p w14:paraId="1BC9CFB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Short SN</w:t>
            </w:r>
          </w:p>
        </w:tc>
        <w:tc>
          <w:tcPr>
            <w:tcW w:w="2364" w:type="dxa"/>
          </w:tcPr>
          <w:p w14:paraId="2832C3F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Short SN</w:t>
            </w:r>
          </w:p>
        </w:tc>
        <w:tc>
          <w:tcPr>
            <w:tcW w:w="1026" w:type="dxa"/>
          </w:tcPr>
          <w:p w14:paraId="3E940FA7" w14:textId="77777777" w:rsidR="007A4931" w:rsidRPr="00FE2E83" w:rsidRDefault="007A4931" w:rsidP="00451BFF">
            <w:pPr>
              <w:keepNext/>
              <w:keepLines/>
              <w:spacing w:after="0"/>
              <w:rPr>
                <w:rFonts w:ascii="Arial" w:hAnsi="Arial"/>
                <w:sz w:val="14"/>
                <w:szCs w:val="16"/>
              </w:rPr>
            </w:pPr>
          </w:p>
        </w:tc>
        <w:tc>
          <w:tcPr>
            <w:tcW w:w="1555" w:type="dxa"/>
          </w:tcPr>
          <w:p w14:paraId="5129535B"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shortSN</w:t>
            </w:r>
          </w:p>
        </w:tc>
        <w:tc>
          <w:tcPr>
            <w:tcW w:w="2372" w:type="dxa"/>
          </w:tcPr>
          <w:p w14:paraId="396FB428"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PDCP-Parameters</w:t>
            </w:r>
          </w:p>
        </w:tc>
        <w:tc>
          <w:tcPr>
            <w:tcW w:w="1150" w:type="dxa"/>
          </w:tcPr>
          <w:p w14:paraId="0D5F442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1AC6CCB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57A91B17" w14:textId="77777777" w:rsidR="007A4931" w:rsidRPr="00FE2E83" w:rsidRDefault="007A4931" w:rsidP="00451BFF">
            <w:pPr>
              <w:keepNext/>
              <w:keepLines/>
              <w:spacing w:after="0"/>
              <w:rPr>
                <w:rFonts w:ascii="Arial" w:hAnsi="Arial"/>
                <w:sz w:val="14"/>
                <w:szCs w:val="16"/>
              </w:rPr>
            </w:pPr>
          </w:p>
        </w:tc>
        <w:tc>
          <w:tcPr>
            <w:tcW w:w="1531" w:type="dxa"/>
          </w:tcPr>
          <w:p w14:paraId="0D81368C"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53215414" w14:textId="77777777" w:rsidTr="001C0BA7">
        <w:trPr>
          <w:tblHeader/>
        </w:trPr>
        <w:tc>
          <w:tcPr>
            <w:tcW w:w="1142" w:type="dxa"/>
            <w:vMerge/>
          </w:tcPr>
          <w:p w14:paraId="6CF62D96" w14:textId="77777777" w:rsidR="007A4931" w:rsidRPr="00FE2E83" w:rsidRDefault="007A4931" w:rsidP="00451BFF">
            <w:pPr>
              <w:keepNext/>
              <w:keepLines/>
              <w:spacing w:after="0"/>
              <w:rPr>
                <w:rFonts w:ascii="Arial" w:hAnsi="Arial"/>
                <w:sz w:val="14"/>
                <w:szCs w:val="16"/>
              </w:rPr>
            </w:pPr>
          </w:p>
        </w:tc>
        <w:tc>
          <w:tcPr>
            <w:tcW w:w="582" w:type="dxa"/>
          </w:tcPr>
          <w:p w14:paraId="3B3FB23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1-6</w:t>
            </w:r>
          </w:p>
        </w:tc>
        <w:tc>
          <w:tcPr>
            <w:tcW w:w="1143" w:type="dxa"/>
          </w:tcPr>
          <w:p w14:paraId="15A43F2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PDCP duplication</w:t>
            </w:r>
          </w:p>
        </w:tc>
        <w:tc>
          <w:tcPr>
            <w:tcW w:w="2364" w:type="dxa"/>
          </w:tcPr>
          <w:p w14:paraId="5917488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PDCP duplication for split SRB1/2</w:t>
            </w:r>
          </w:p>
          <w:p w14:paraId="6D45637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PDCP duplication for SRB1/2 and/or SRB3</w:t>
            </w:r>
          </w:p>
          <w:p w14:paraId="1A04B31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PDCP duplication for MCG or SCG DRB</w:t>
            </w:r>
          </w:p>
          <w:p w14:paraId="4156D59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PDCP duplication for split DRB</w:t>
            </w:r>
          </w:p>
        </w:tc>
        <w:tc>
          <w:tcPr>
            <w:tcW w:w="1026" w:type="dxa"/>
          </w:tcPr>
          <w:p w14:paraId="3B4DCF96" w14:textId="77777777" w:rsidR="007A4931" w:rsidRPr="00FE2E83" w:rsidRDefault="007A4931" w:rsidP="00451BFF">
            <w:pPr>
              <w:keepNext/>
              <w:keepLines/>
              <w:spacing w:after="0"/>
              <w:rPr>
                <w:rFonts w:ascii="Arial" w:hAnsi="Arial"/>
                <w:sz w:val="14"/>
                <w:szCs w:val="16"/>
              </w:rPr>
            </w:pPr>
          </w:p>
        </w:tc>
        <w:tc>
          <w:tcPr>
            <w:tcW w:w="1555" w:type="dxa"/>
          </w:tcPr>
          <w:p w14:paraId="3321886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pdcp-DuplicationSplitSRB</w:t>
            </w:r>
          </w:p>
          <w:p w14:paraId="2879D7B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w:t>
            </w:r>
            <w:r w:rsidRPr="00FE2E83">
              <w:rPr>
                <w:rFonts w:ascii="Arial" w:hAnsi="Arial"/>
                <w:i/>
                <w:sz w:val="14"/>
                <w:szCs w:val="16"/>
              </w:rPr>
              <w:t xml:space="preserve"> pdcp-DuplicationSRB</w:t>
            </w:r>
          </w:p>
          <w:p w14:paraId="65565A1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pdcp-DuplicationMCG-OrSCG-DRB</w:t>
            </w:r>
          </w:p>
          <w:p w14:paraId="3CCAAB1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4) </w:t>
            </w:r>
            <w:r w:rsidRPr="00FE2E83">
              <w:rPr>
                <w:rFonts w:ascii="Arial" w:hAnsi="Arial"/>
                <w:i/>
                <w:sz w:val="14"/>
                <w:szCs w:val="16"/>
              </w:rPr>
              <w:t>pdcp-DuplicationSplitDRB</w:t>
            </w:r>
          </w:p>
        </w:tc>
        <w:tc>
          <w:tcPr>
            <w:tcW w:w="2372" w:type="dxa"/>
          </w:tcPr>
          <w:p w14:paraId="4612C54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4) </w:t>
            </w:r>
            <w:r w:rsidRPr="00FE2E83">
              <w:rPr>
                <w:rFonts w:ascii="Arial" w:hAnsi="Arial"/>
                <w:i/>
                <w:sz w:val="14"/>
                <w:szCs w:val="16"/>
              </w:rPr>
              <w:t>PDCP-ParametersMRDC</w:t>
            </w:r>
          </w:p>
          <w:p w14:paraId="5926536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3) </w:t>
            </w:r>
            <w:r w:rsidRPr="00FE2E83">
              <w:rPr>
                <w:rFonts w:ascii="Arial" w:hAnsi="Arial"/>
                <w:i/>
                <w:sz w:val="14"/>
                <w:szCs w:val="16"/>
              </w:rPr>
              <w:t>PDCP-Parameters</w:t>
            </w:r>
          </w:p>
        </w:tc>
        <w:tc>
          <w:tcPr>
            <w:tcW w:w="1150" w:type="dxa"/>
          </w:tcPr>
          <w:p w14:paraId="2E59D1B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46CEF74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0CF22A0E" w14:textId="77777777" w:rsidR="007A4931" w:rsidRPr="00FE2E83" w:rsidRDefault="007A4931" w:rsidP="00451BFF">
            <w:pPr>
              <w:keepNext/>
              <w:keepLines/>
              <w:spacing w:after="0"/>
              <w:rPr>
                <w:rFonts w:ascii="Arial" w:hAnsi="Arial"/>
                <w:sz w:val="14"/>
                <w:szCs w:val="16"/>
              </w:rPr>
            </w:pPr>
          </w:p>
        </w:tc>
        <w:tc>
          <w:tcPr>
            <w:tcW w:w="1531" w:type="dxa"/>
          </w:tcPr>
          <w:p w14:paraId="41440FD6"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Optional with capability signalling</w:t>
            </w:r>
          </w:p>
        </w:tc>
      </w:tr>
      <w:tr w:rsidR="007A4931" w:rsidRPr="00FE2E83" w14:paraId="7BF63B09" w14:textId="77777777" w:rsidTr="001C0BA7">
        <w:trPr>
          <w:tblHeader/>
        </w:trPr>
        <w:tc>
          <w:tcPr>
            <w:tcW w:w="1142" w:type="dxa"/>
            <w:vMerge/>
          </w:tcPr>
          <w:p w14:paraId="40A35803" w14:textId="77777777" w:rsidR="007A4931" w:rsidRPr="00FE2E83" w:rsidRDefault="007A4931" w:rsidP="00451BFF">
            <w:pPr>
              <w:keepNext/>
              <w:keepLines/>
              <w:spacing w:after="0"/>
              <w:rPr>
                <w:rFonts w:ascii="Arial" w:hAnsi="Arial"/>
                <w:sz w:val="14"/>
                <w:szCs w:val="16"/>
              </w:rPr>
            </w:pPr>
          </w:p>
        </w:tc>
        <w:tc>
          <w:tcPr>
            <w:tcW w:w="582" w:type="dxa"/>
          </w:tcPr>
          <w:p w14:paraId="55742F4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1-7</w:t>
            </w:r>
          </w:p>
        </w:tc>
        <w:tc>
          <w:tcPr>
            <w:tcW w:w="1143" w:type="dxa"/>
          </w:tcPr>
          <w:p w14:paraId="6546758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DRB IP data rate</w:t>
            </w:r>
          </w:p>
        </w:tc>
        <w:tc>
          <w:tcPr>
            <w:tcW w:w="2364" w:type="dxa"/>
          </w:tcPr>
          <w:p w14:paraId="5B16D75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DRB IP data rate in DL</w:t>
            </w:r>
          </w:p>
          <w:p w14:paraId="164FF9A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DRB IP data rate in UL</w:t>
            </w:r>
          </w:p>
        </w:tc>
        <w:tc>
          <w:tcPr>
            <w:tcW w:w="1026" w:type="dxa"/>
          </w:tcPr>
          <w:p w14:paraId="1529355E" w14:textId="77777777" w:rsidR="007A4931" w:rsidRPr="00FE2E83" w:rsidRDefault="007A4931" w:rsidP="00451BFF">
            <w:pPr>
              <w:keepNext/>
              <w:keepLines/>
              <w:spacing w:after="0"/>
              <w:rPr>
                <w:rFonts w:ascii="Arial" w:hAnsi="Arial"/>
                <w:sz w:val="14"/>
                <w:szCs w:val="16"/>
              </w:rPr>
            </w:pPr>
          </w:p>
        </w:tc>
        <w:tc>
          <w:tcPr>
            <w:tcW w:w="1555" w:type="dxa"/>
          </w:tcPr>
          <w:p w14:paraId="68F1056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016836D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60D102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0E31828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1C6982FF" w14:textId="77777777" w:rsidR="007A4931" w:rsidRPr="00FE2E83" w:rsidRDefault="007A4931" w:rsidP="00451BFF">
            <w:pPr>
              <w:keepNext/>
              <w:keepLines/>
              <w:spacing w:after="0"/>
              <w:rPr>
                <w:rFonts w:ascii="Arial" w:hAnsi="Arial"/>
                <w:sz w:val="14"/>
                <w:szCs w:val="16"/>
              </w:rPr>
            </w:pPr>
          </w:p>
        </w:tc>
        <w:tc>
          <w:tcPr>
            <w:tcW w:w="1531" w:type="dxa"/>
          </w:tcPr>
          <w:p w14:paraId="16D33BD5"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Optional capability is signalled by NAS signalling defined in 24.501</w:t>
            </w:r>
          </w:p>
        </w:tc>
      </w:tr>
      <w:tr w:rsidR="007A4931" w:rsidRPr="00FE2E83" w14:paraId="2DA00EDF" w14:textId="77777777" w:rsidTr="001C0BA7">
        <w:trPr>
          <w:tblHeader/>
        </w:trPr>
        <w:tc>
          <w:tcPr>
            <w:tcW w:w="1142" w:type="dxa"/>
            <w:vMerge w:val="restart"/>
          </w:tcPr>
          <w:p w14:paraId="3043C04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RLC</w:t>
            </w:r>
          </w:p>
        </w:tc>
        <w:tc>
          <w:tcPr>
            <w:tcW w:w="582" w:type="dxa"/>
          </w:tcPr>
          <w:p w14:paraId="323549E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2-0</w:t>
            </w:r>
          </w:p>
        </w:tc>
        <w:tc>
          <w:tcPr>
            <w:tcW w:w="1143" w:type="dxa"/>
          </w:tcPr>
          <w:p w14:paraId="415FF28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Basic RLC procedures</w:t>
            </w:r>
          </w:p>
        </w:tc>
        <w:tc>
          <w:tcPr>
            <w:tcW w:w="2364" w:type="dxa"/>
          </w:tcPr>
          <w:p w14:paraId="18E85BA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RLC TM</w:t>
            </w:r>
          </w:p>
          <w:p w14:paraId="251095A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RLC AM with 18bits SN*</w:t>
            </w:r>
          </w:p>
          <w:p w14:paraId="084A9AF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SDU discard</w:t>
            </w:r>
          </w:p>
        </w:tc>
        <w:tc>
          <w:tcPr>
            <w:tcW w:w="1026" w:type="dxa"/>
          </w:tcPr>
          <w:p w14:paraId="3127A10A" w14:textId="77777777" w:rsidR="007A4931" w:rsidRPr="00FE2E83" w:rsidRDefault="007A4931" w:rsidP="00451BFF">
            <w:pPr>
              <w:keepNext/>
              <w:keepLines/>
              <w:spacing w:after="0"/>
              <w:rPr>
                <w:rFonts w:ascii="Arial" w:hAnsi="Arial"/>
                <w:sz w:val="14"/>
                <w:szCs w:val="16"/>
              </w:rPr>
            </w:pPr>
          </w:p>
        </w:tc>
        <w:tc>
          <w:tcPr>
            <w:tcW w:w="1555" w:type="dxa"/>
          </w:tcPr>
          <w:p w14:paraId="5859D6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0974726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5355CB8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D6E12C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22D20A4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 separate feature is considered for t-PollRetransmit, t-Reassembly and t-StatusProhibit</w:t>
            </w:r>
          </w:p>
        </w:tc>
        <w:tc>
          <w:tcPr>
            <w:tcW w:w="1531" w:type="dxa"/>
          </w:tcPr>
          <w:p w14:paraId="6EE0CD95"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6D3AA609" w14:textId="77777777" w:rsidTr="001C0BA7">
        <w:trPr>
          <w:tblHeader/>
        </w:trPr>
        <w:tc>
          <w:tcPr>
            <w:tcW w:w="1142" w:type="dxa"/>
            <w:vMerge/>
          </w:tcPr>
          <w:p w14:paraId="70673B9A" w14:textId="77777777" w:rsidR="007A4931" w:rsidRPr="00FE2E83" w:rsidRDefault="007A4931" w:rsidP="00451BFF">
            <w:pPr>
              <w:keepNext/>
              <w:keepLines/>
              <w:spacing w:after="0"/>
              <w:rPr>
                <w:rFonts w:ascii="Arial" w:hAnsi="Arial"/>
                <w:sz w:val="14"/>
                <w:szCs w:val="16"/>
              </w:rPr>
            </w:pPr>
          </w:p>
        </w:tc>
        <w:tc>
          <w:tcPr>
            <w:tcW w:w="582" w:type="dxa"/>
          </w:tcPr>
          <w:p w14:paraId="436684C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2-1</w:t>
            </w:r>
          </w:p>
        </w:tc>
        <w:tc>
          <w:tcPr>
            <w:tcW w:w="1143" w:type="dxa"/>
          </w:tcPr>
          <w:p w14:paraId="4F0157B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AM with short SN</w:t>
            </w:r>
          </w:p>
        </w:tc>
        <w:tc>
          <w:tcPr>
            <w:tcW w:w="2364" w:type="dxa"/>
          </w:tcPr>
          <w:p w14:paraId="018E8D2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AM with short SN</w:t>
            </w:r>
          </w:p>
        </w:tc>
        <w:tc>
          <w:tcPr>
            <w:tcW w:w="1026" w:type="dxa"/>
          </w:tcPr>
          <w:p w14:paraId="54CAC9B1" w14:textId="77777777" w:rsidR="007A4931" w:rsidRPr="00FE2E83" w:rsidRDefault="007A4931" w:rsidP="00451BFF">
            <w:pPr>
              <w:keepNext/>
              <w:keepLines/>
              <w:spacing w:after="0"/>
              <w:rPr>
                <w:rFonts w:ascii="Arial" w:hAnsi="Arial"/>
                <w:sz w:val="14"/>
                <w:szCs w:val="16"/>
              </w:rPr>
            </w:pPr>
          </w:p>
        </w:tc>
        <w:tc>
          <w:tcPr>
            <w:tcW w:w="1555" w:type="dxa"/>
          </w:tcPr>
          <w:p w14:paraId="02A87D0C"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am-WithShortSN</w:t>
            </w:r>
          </w:p>
        </w:tc>
        <w:tc>
          <w:tcPr>
            <w:tcW w:w="2372" w:type="dxa"/>
          </w:tcPr>
          <w:p w14:paraId="14D1E9F6"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RLC-Parameters</w:t>
            </w:r>
          </w:p>
        </w:tc>
        <w:tc>
          <w:tcPr>
            <w:tcW w:w="1150" w:type="dxa"/>
          </w:tcPr>
          <w:p w14:paraId="5409497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0354A64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617B231E" w14:textId="77777777" w:rsidR="007A4931" w:rsidRPr="00FE2E83" w:rsidRDefault="007A4931" w:rsidP="00451BFF">
            <w:pPr>
              <w:keepNext/>
              <w:keepLines/>
              <w:spacing w:after="0"/>
              <w:rPr>
                <w:rFonts w:ascii="Arial" w:hAnsi="Arial"/>
                <w:sz w:val="14"/>
                <w:szCs w:val="16"/>
              </w:rPr>
            </w:pPr>
          </w:p>
        </w:tc>
        <w:tc>
          <w:tcPr>
            <w:tcW w:w="1531" w:type="dxa"/>
          </w:tcPr>
          <w:p w14:paraId="4BFF1A61"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3AA5EA42" w14:textId="77777777" w:rsidTr="001C0BA7">
        <w:trPr>
          <w:tblHeader/>
        </w:trPr>
        <w:tc>
          <w:tcPr>
            <w:tcW w:w="1142" w:type="dxa"/>
            <w:vMerge/>
          </w:tcPr>
          <w:p w14:paraId="7E00AB84" w14:textId="77777777" w:rsidR="007A4931" w:rsidRPr="00FE2E83" w:rsidRDefault="007A4931" w:rsidP="00451BFF">
            <w:pPr>
              <w:keepNext/>
              <w:keepLines/>
              <w:spacing w:after="0"/>
              <w:rPr>
                <w:rFonts w:ascii="Arial" w:hAnsi="Arial"/>
                <w:sz w:val="14"/>
                <w:szCs w:val="16"/>
              </w:rPr>
            </w:pPr>
          </w:p>
        </w:tc>
        <w:tc>
          <w:tcPr>
            <w:tcW w:w="582" w:type="dxa"/>
          </w:tcPr>
          <w:p w14:paraId="7AC0D7B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2-2</w:t>
            </w:r>
          </w:p>
        </w:tc>
        <w:tc>
          <w:tcPr>
            <w:tcW w:w="1143" w:type="dxa"/>
          </w:tcPr>
          <w:p w14:paraId="532095E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UM with short SN</w:t>
            </w:r>
          </w:p>
        </w:tc>
        <w:tc>
          <w:tcPr>
            <w:tcW w:w="2364" w:type="dxa"/>
          </w:tcPr>
          <w:p w14:paraId="24243DC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UM with short SN</w:t>
            </w:r>
          </w:p>
        </w:tc>
        <w:tc>
          <w:tcPr>
            <w:tcW w:w="1026" w:type="dxa"/>
          </w:tcPr>
          <w:p w14:paraId="1D61BF60" w14:textId="77777777" w:rsidR="007A4931" w:rsidRPr="00FE2E83" w:rsidRDefault="007A4931" w:rsidP="00451BFF">
            <w:pPr>
              <w:keepNext/>
              <w:keepLines/>
              <w:spacing w:after="0"/>
              <w:rPr>
                <w:rFonts w:ascii="Arial" w:hAnsi="Arial"/>
                <w:sz w:val="14"/>
                <w:szCs w:val="16"/>
              </w:rPr>
            </w:pPr>
          </w:p>
        </w:tc>
        <w:tc>
          <w:tcPr>
            <w:tcW w:w="1555" w:type="dxa"/>
          </w:tcPr>
          <w:p w14:paraId="49F78A6F"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um-WithShortSN</w:t>
            </w:r>
          </w:p>
        </w:tc>
        <w:tc>
          <w:tcPr>
            <w:tcW w:w="2372" w:type="dxa"/>
          </w:tcPr>
          <w:p w14:paraId="3886A5E2"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RLC-Parameters</w:t>
            </w:r>
          </w:p>
        </w:tc>
        <w:tc>
          <w:tcPr>
            <w:tcW w:w="1150" w:type="dxa"/>
          </w:tcPr>
          <w:p w14:paraId="2096959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4BF6589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44B1674E" w14:textId="77777777" w:rsidR="007A4931" w:rsidRPr="00FE2E83" w:rsidRDefault="007A4931" w:rsidP="00451BFF">
            <w:pPr>
              <w:keepNext/>
              <w:keepLines/>
              <w:spacing w:after="0"/>
              <w:rPr>
                <w:rFonts w:ascii="Arial" w:hAnsi="Arial"/>
                <w:sz w:val="14"/>
                <w:szCs w:val="16"/>
              </w:rPr>
            </w:pPr>
          </w:p>
        </w:tc>
        <w:tc>
          <w:tcPr>
            <w:tcW w:w="1531" w:type="dxa"/>
          </w:tcPr>
          <w:p w14:paraId="64D4FBFE"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7FD81152" w14:textId="77777777" w:rsidTr="001C0BA7">
        <w:trPr>
          <w:tblHeader/>
        </w:trPr>
        <w:tc>
          <w:tcPr>
            <w:tcW w:w="1142" w:type="dxa"/>
            <w:vMerge/>
          </w:tcPr>
          <w:p w14:paraId="0A18AFEF" w14:textId="77777777" w:rsidR="007A4931" w:rsidRPr="00FE2E83" w:rsidRDefault="007A4931" w:rsidP="00451BFF">
            <w:pPr>
              <w:keepNext/>
              <w:keepLines/>
              <w:spacing w:after="0"/>
              <w:rPr>
                <w:rFonts w:ascii="Arial" w:hAnsi="Arial"/>
                <w:sz w:val="14"/>
                <w:szCs w:val="16"/>
              </w:rPr>
            </w:pPr>
          </w:p>
        </w:tc>
        <w:tc>
          <w:tcPr>
            <w:tcW w:w="582" w:type="dxa"/>
          </w:tcPr>
          <w:p w14:paraId="7022220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2-3</w:t>
            </w:r>
          </w:p>
        </w:tc>
        <w:tc>
          <w:tcPr>
            <w:tcW w:w="1143" w:type="dxa"/>
          </w:tcPr>
          <w:p w14:paraId="687FC42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UM with long SN</w:t>
            </w:r>
          </w:p>
        </w:tc>
        <w:tc>
          <w:tcPr>
            <w:tcW w:w="2364" w:type="dxa"/>
          </w:tcPr>
          <w:p w14:paraId="0894D7C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UM with long SN</w:t>
            </w:r>
          </w:p>
        </w:tc>
        <w:tc>
          <w:tcPr>
            <w:tcW w:w="1026" w:type="dxa"/>
          </w:tcPr>
          <w:p w14:paraId="512684F8" w14:textId="77777777" w:rsidR="007A4931" w:rsidRPr="00FE2E83" w:rsidRDefault="007A4931" w:rsidP="00451BFF">
            <w:pPr>
              <w:keepNext/>
              <w:keepLines/>
              <w:spacing w:after="0"/>
              <w:rPr>
                <w:rFonts w:ascii="Arial" w:hAnsi="Arial"/>
                <w:sz w:val="14"/>
                <w:szCs w:val="16"/>
              </w:rPr>
            </w:pPr>
          </w:p>
        </w:tc>
        <w:tc>
          <w:tcPr>
            <w:tcW w:w="1555" w:type="dxa"/>
          </w:tcPr>
          <w:p w14:paraId="4DC80738"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um-WithLongSN</w:t>
            </w:r>
          </w:p>
        </w:tc>
        <w:tc>
          <w:tcPr>
            <w:tcW w:w="2372" w:type="dxa"/>
          </w:tcPr>
          <w:p w14:paraId="0DC9C31E"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RLC-Parameters</w:t>
            </w:r>
          </w:p>
        </w:tc>
        <w:tc>
          <w:tcPr>
            <w:tcW w:w="1150" w:type="dxa"/>
          </w:tcPr>
          <w:p w14:paraId="104F0C3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4394B4A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3AE28118" w14:textId="77777777" w:rsidR="007A4931" w:rsidRPr="00FE2E83" w:rsidRDefault="007A4931" w:rsidP="00451BFF">
            <w:pPr>
              <w:keepNext/>
              <w:keepLines/>
              <w:spacing w:after="0"/>
              <w:rPr>
                <w:rFonts w:ascii="Arial" w:hAnsi="Arial"/>
                <w:sz w:val="14"/>
                <w:szCs w:val="16"/>
              </w:rPr>
            </w:pPr>
          </w:p>
        </w:tc>
        <w:tc>
          <w:tcPr>
            <w:tcW w:w="1531" w:type="dxa"/>
          </w:tcPr>
          <w:p w14:paraId="1E7F522F"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3D2FBA22" w14:textId="77777777" w:rsidTr="001C0BA7">
        <w:trPr>
          <w:tblHeader/>
        </w:trPr>
        <w:tc>
          <w:tcPr>
            <w:tcW w:w="1142" w:type="dxa"/>
            <w:vMerge/>
          </w:tcPr>
          <w:p w14:paraId="1F1D787E" w14:textId="77777777" w:rsidR="007A4931" w:rsidRPr="00FE2E83" w:rsidRDefault="007A4931" w:rsidP="00451BFF">
            <w:pPr>
              <w:keepNext/>
              <w:keepLines/>
              <w:spacing w:after="0"/>
              <w:rPr>
                <w:rFonts w:ascii="Arial" w:hAnsi="Arial"/>
                <w:sz w:val="14"/>
                <w:szCs w:val="16"/>
              </w:rPr>
            </w:pPr>
          </w:p>
        </w:tc>
        <w:tc>
          <w:tcPr>
            <w:tcW w:w="582" w:type="dxa"/>
          </w:tcPr>
          <w:p w14:paraId="48A43D6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2-4</w:t>
            </w:r>
          </w:p>
        </w:tc>
        <w:tc>
          <w:tcPr>
            <w:tcW w:w="1143" w:type="dxa"/>
          </w:tcPr>
          <w:p w14:paraId="5FD5A5F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NR RLC SN size for SRB</w:t>
            </w:r>
          </w:p>
        </w:tc>
        <w:tc>
          <w:tcPr>
            <w:tcW w:w="2364" w:type="dxa"/>
          </w:tcPr>
          <w:p w14:paraId="224DAC8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NR RLC SN size for SRB</w:t>
            </w:r>
          </w:p>
        </w:tc>
        <w:tc>
          <w:tcPr>
            <w:tcW w:w="1026" w:type="dxa"/>
          </w:tcPr>
          <w:p w14:paraId="18DFC9A7" w14:textId="77777777" w:rsidR="007A4931" w:rsidRPr="00FE2E83" w:rsidRDefault="007A4931" w:rsidP="00451BFF">
            <w:pPr>
              <w:keepNext/>
              <w:keepLines/>
              <w:spacing w:after="0"/>
              <w:rPr>
                <w:rFonts w:ascii="Arial" w:hAnsi="Arial"/>
                <w:sz w:val="14"/>
                <w:szCs w:val="16"/>
              </w:rPr>
            </w:pPr>
          </w:p>
        </w:tc>
        <w:tc>
          <w:tcPr>
            <w:tcW w:w="1555" w:type="dxa"/>
          </w:tcPr>
          <w:p w14:paraId="5C47B7A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465D4D0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046194D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2E988B0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2D1B1E02" w14:textId="77777777" w:rsidR="007A4931" w:rsidRPr="00FE2E83" w:rsidRDefault="007A4931" w:rsidP="00451BFF">
            <w:pPr>
              <w:keepNext/>
              <w:keepLines/>
              <w:spacing w:after="0"/>
              <w:rPr>
                <w:rFonts w:ascii="Arial" w:hAnsi="Arial"/>
                <w:sz w:val="14"/>
                <w:szCs w:val="16"/>
              </w:rPr>
            </w:pPr>
          </w:p>
        </w:tc>
        <w:tc>
          <w:tcPr>
            <w:tcW w:w="1531" w:type="dxa"/>
          </w:tcPr>
          <w:p w14:paraId="045AF39E"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RAN2 decided only short RLC SN is used for SRB.</w:t>
            </w:r>
          </w:p>
        </w:tc>
      </w:tr>
      <w:tr w:rsidR="007A4931" w:rsidRPr="00FE2E83" w14:paraId="6DB4ABA0" w14:textId="77777777" w:rsidTr="001C0BA7">
        <w:trPr>
          <w:tblHeader/>
        </w:trPr>
        <w:tc>
          <w:tcPr>
            <w:tcW w:w="1142" w:type="dxa"/>
            <w:vMerge w:val="restart"/>
          </w:tcPr>
          <w:p w14:paraId="6B046EE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MAC</w:t>
            </w:r>
          </w:p>
        </w:tc>
        <w:tc>
          <w:tcPr>
            <w:tcW w:w="582" w:type="dxa"/>
          </w:tcPr>
          <w:p w14:paraId="241FC23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3-0</w:t>
            </w:r>
          </w:p>
        </w:tc>
        <w:tc>
          <w:tcPr>
            <w:tcW w:w="1143" w:type="dxa"/>
          </w:tcPr>
          <w:p w14:paraId="716A0B8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Basic MAC procedures</w:t>
            </w:r>
          </w:p>
        </w:tc>
        <w:tc>
          <w:tcPr>
            <w:tcW w:w="2364" w:type="dxa"/>
          </w:tcPr>
          <w:p w14:paraId="0C49DEB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RA procedure on PCell or PSCell (in case of EN-DC)</w:t>
            </w:r>
          </w:p>
          <w:p w14:paraId="08F1D8D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UE initiated RA procedure (including for beam recovery purpose)</w:t>
            </w:r>
          </w:p>
          <w:p w14:paraId="4118791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NW initiated RA procedure (i.e. based on PDCCH)</w:t>
            </w:r>
          </w:p>
          <w:p w14:paraId="62EA17A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Support of ssb-Threshold and association between preamble/PRACH occasion and SSB</w:t>
            </w:r>
          </w:p>
          <w:p w14:paraId="499B747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Preamble grouping</w:t>
            </w:r>
          </w:p>
          <w:p w14:paraId="6BD07FB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 UL single TA maintenance</w:t>
            </w:r>
          </w:p>
          <w:p w14:paraId="38C0013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 HARQ operation for DL and UL</w:t>
            </w:r>
          </w:p>
          <w:p w14:paraId="38FC943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8) LCH prioritization</w:t>
            </w:r>
          </w:p>
          <w:p w14:paraId="4CCFFDD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 Prioritized bit rate</w:t>
            </w:r>
          </w:p>
          <w:p w14:paraId="624B045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10) Multiplexing</w:t>
            </w:r>
          </w:p>
          <w:p w14:paraId="72F25D8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11) SR with single SR configuration</w:t>
            </w:r>
          </w:p>
          <w:p w14:paraId="56FA579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12) BSR</w:t>
            </w:r>
          </w:p>
          <w:p w14:paraId="5CFFE09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13) PHR</w:t>
            </w:r>
          </w:p>
          <w:p w14:paraId="5F58411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14) 8bits and 16bits L field</w:t>
            </w:r>
          </w:p>
        </w:tc>
        <w:tc>
          <w:tcPr>
            <w:tcW w:w="1026" w:type="dxa"/>
          </w:tcPr>
          <w:p w14:paraId="57C71F8C" w14:textId="77777777" w:rsidR="007A4931" w:rsidRPr="00FE2E83" w:rsidRDefault="007A4931" w:rsidP="00451BFF">
            <w:pPr>
              <w:keepNext/>
              <w:keepLines/>
              <w:spacing w:after="0"/>
              <w:rPr>
                <w:rFonts w:ascii="Arial" w:hAnsi="Arial"/>
                <w:sz w:val="14"/>
                <w:szCs w:val="16"/>
              </w:rPr>
            </w:pPr>
          </w:p>
        </w:tc>
        <w:tc>
          <w:tcPr>
            <w:tcW w:w="1555" w:type="dxa"/>
          </w:tcPr>
          <w:p w14:paraId="0D121D2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0AF5D64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429817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75768E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F6016C6" w14:textId="77777777" w:rsidR="007A4931" w:rsidRPr="00FE2E83" w:rsidRDefault="007A4931" w:rsidP="00451BFF">
            <w:pPr>
              <w:keepNext/>
              <w:keepLines/>
              <w:spacing w:after="0"/>
              <w:rPr>
                <w:rFonts w:ascii="Arial" w:hAnsi="Arial"/>
                <w:sz w:val="14"/>
                <w:szCs w:val="16"/>
              </w:rPr>
            </w:pPr>
          </w:p>
        </w:tc>
        <w:tc>
          <w:tcPr>
            <w:tcW w:w="1531" w:type="dxa"/>
          </w:tcPr>
          <w:p w14:paraId="74566DE3"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without capability signallling</w:t>
            </w:r>
          </w:p>
        </w:tc>
      </w:tr>
      <w:tr w:rsidR="007A4931" w:rsidRPr="00FE2E83" w14:paraId="2D762F8D" w14:textId="77777777" w:rsidTr="001C0BA7">
        <w:trPr>
          <w:tblHeader/>
        </w:trPr>
        <w:tc>
          <w:tcPr>
            <w:tcW w:w="1142" w:type="dxa"/>
            <w:vMerge/>
          </w:tcPr>
          <w:p w14:paraId="367D2E5A" w14:textId="77777777" w:rsidR="007A4931" w:rsidRPr="00FE2E83" w:rsidRDefault="007A4931" w:rsidP="00451BFF">
            <w:pPr>
              <w:keepNext/>
              <w:keepLines/>
              <w:spacing w:after="0"/>
              <w:rPr>
                <w:rFonts w:ascii="Arial" w:hAnsi="Arial"/>
                <w:sz w:val="14"/>
                <w:szCs w:val="16"/>
              </w:rPr>
            </w:pPr>
          </w:p>
        </w:tc>
        <w:tc>
          <w:tcPr>
            <w:tcW w:w="582" w:type="dxa"/>
          </w:tcPr>
          <w:p w14:paraId="7B67FAC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3-3</w:t>
            </w:r>
          </w:p>
        </w:tc>
        <w:tc>
          <w:tcPr>
            <w:tcW w:w="1143" w:type="dxa"/>
          </w:tcPr>
          <w:p w14:paraId="5F0C741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DRX</w:t>
            </w:r>
          </w:p>
        </w:tc>
        <w:tc>
          <w:tcPr>
            <w:tcW w:w="2364" w:type="dxa"/>
          </w:tcPr>
          <w:p w14:paraId="7BCE816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DRX with long DRX cycle</w:t>
            </w:r>
          </w:p>
          <w:p w14:paraId="3C48221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DRX with short DRX cycle</w:t>
            </w:r>
          </w:p>
        </w:tc>
        <w:tc>
          <w:tcPr>
            <w:tcW w:w="1026" w:type="dxa"/>
          </w:tcPr>
          <w:p w14:paraId="3650B0FC" w14:textId="77777777" w:rsidR="007A4931" w:rsidRPr="00FE2E83" w:rsidRDefault="007A4931" w:rsidP="00451BFF">
            <w:pPr>
              <w:keepNext/>
              <w:keepLines/>
              <w:spacing w:after="0"/>
              <w:rPr>
                <w:rFonts w:ascii="Arial" w:hAnsi="Arial"/>
                <w:sz w:val="14"/>
                <w:szCs w:val="16"/>
              </w:rPr>
            </w:pPr>
          </w:p>
        </w:tc>
        <w:tc>
          <w:tcPr>
            <w:tcW w:w="1555" w:type="dxa"/>
          </w:tcPr>
          <w:p w14:paraId="50A28B3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longDRX-Cycle</w:t>
            </w:r>
          </w:p>
          <w:p w14:paraId="06C3846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w:t>
            </w:r>
            <w:r w:rsidRPr="00FE2E83">
              <w:rPr>
                <w:rFonts w:ascii="Arial" w:hAnsi="Arial"/>
                <w:i/>
                <w:sz w:val="14"/>
                <w:szCs w:val="16"/>
              </w:rPr>
              <w:t>shortDRX-Cycle</w:t>
            </w:r>
          </w:p>
        </w:tc>
        <w:tc>
          <w:tcPr>
            <w:tcW w:w="2372" w:type="dxa"/>
          </w:tcPr>
          <w:p w14:paraId="15BAA7C7"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MAC-ParametersXDD-Diff</w:t>
            </w:r>
          </w:p>
        </w:tc>
        <w:tc>
          <w:tcPr>
            <w:tcW w:w="1150" w:type="dxa"/>
          </w:tcPr>
          <w:p w14:paraId="34C340A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Yes</w:t>
            </w:r>
          </w:p>
        </w:tc>
        <w:tc>
          <w:tcPr>
            <w:tcW w:w="1150" w:type="dxa"/>
          </w:tcPr>
          <w:p w14:paraId="41942BD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6C61F95E" w14:textId="77777777" w:rsidR="007A4931" w:rsidRPr="00FE2E83" w:rsidRDefault="007A4931" w:rsidP="00451BFF">
            <w:pPr>
              <w:keepNext/>
              <w:keepLines/>
              <w:spacing w:after="0"/>
              <w:rPr>
                <w:rFonts w:ascii="Arial" w:hAnsi="Arial"/>
                <w:sz w:val="14"/>
                <w:szCs w:val="16"/>
              </w:rPr>
            </w:pPr>
          </w:p>
        </w:tc>
        <w:tc>
          <w:tcPr>
            <w:tcW w:w="1531" w:type="dxa"/>
          </w:tcPr>
          <w:p w14:paraId="05A88270"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1D2817D7" w14:textId="77777777" w:rsidTr="001C0BA7">
        <w:trPr>
          <w:tblHeader/>
        </w:trPr>
        <w:tc>
          <w:tcPr>
            <w:tcW w:w="1142" w:type="dxa"/>
            <w:vMerge/>
          </w:tcPr>
          <w:p w14:paraId="796A5451" w14:textId="77777777" w:rsidR="007A4931" w:rsidRPr="00FE2E83" w:rsidRDefault="007A4931" w:rsidP="00451BFF">
            <w:pPr>
              <w:keepNext/>
              <w:keepLines/>
              <w:spacing w:after="0"/>
              <w:rPr>
                <w:rFonts w:ascii="Arial" w:hAnsi="Arial"/>
                <w:sz w:val="14"/>
                <w:szCs w:val="16"/>
              </w:rPr>
            </w:pPr>
          </w:p>
        </w:tc>
        <w:tc>
          <w:tcPr>
            <w:tcW w:w="582" w:type="dxa"/>
          </w:tcPr>
          <w:p w14:paraId="7F319D9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3-6</w:t>
            </w:r>
          </w:p>
        </w:tc>
        <w:tc>
          <w:tcPr>
            <w:tcW w:w="1143" w:type="dxa"/>
          </w:tcPr>
          <w:p w14:paraId="2D776E9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Skipping UL transmission</w:t>
            </w:r>
          </w:p>
        </w:tc>
        <w:tc>
          <w:tcPr>
            <w:tcW w:w="2364" w:type="dxa"/>
          </w:tcPr>
          <w:p w14:paraId="59D979E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Skipping UL transmission for dynamic UL grant</w:t>
            </w:r>
          </w:p>
          <w:p w14:paraId="0725985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Skipping UL transmission for configured UL grant</w:t>
            </w:r>
          </w:p>
        </w:tc>
        <w:tc>
          <w:tcPr>
            <w:tcW w:w="1026" w:type="dxa"/>
          </w:tcPr>
          <w:p w14:paraId="4851EEC9" w14:textId="77777777" w:rsidR="007A4931" w:rsidRPr="00FE2E83" w:rsidRDefault="007A4931" w:rsidP="00451BFF">
            <w:pPr>
              <w:keepNext/>
              <w:keepLines/>
              <w:spacing w:after="0"/>
              <w:rPr>
                <w:rFonts w:ascii="Arial" w:hAnsi="Arial"/>
                <w:sz w:val="14"/>
                <w:szCs w:val="16"/>
              </w:rPr>
            </w:pPr>
          </w:p>
        </w:tc>
        <w:tc>
          <w:tcPr>
            <w:tcW w:w="1555" w:type="dxa"/>
          </w:tcPr>
          <w:p w14:paraId="0A42832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skipUplinkTxDynamic</w:t>
            </w:r>
          </w:p>
        </w:tc>
        <w:tc>
          <w:tcPr>
            <w:tcW w:w="2372" w:type="dxa"/>
          </w:tcPr>
          <w:p w14:paraId="34AEBC8C"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MAC-ParametersXDD-Diff</w:t>
            </w:r>
          </w:p>
        </w:tc>
        <w:tc>
          <w:tcPr>
            <w:tcW w:w="1150" w:type="dxa"/>
          </w:tcPr>
          <w:p w14:paraId="2E841BF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Yes</w:t>
            </w:r>
          </w:p>
          <w:p w14:paraId="1D322CD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No</w:t>
            </w:r>
          </w:p>
        </w:tc>
        <w:tc>
          <w:tcPr>
            <w:tcW w:w="1150" w:type="dxa"/>
          </w:tcPr>
          <w:p w14:paraId="28EF514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000EFA54" w14:textId="77777777" w:rsidR="007A4931" w:rsidRPr="00FE2E83" w:rsidRDefault="007A4931" w:rsidP="00451BFF">
            <w:pPr>
              <w:keepNext/>
              <w:keepLines/>
              <w:spacing w:after="0"/>
              <w:rPr>
                <w:rFonts w:ascii="Arial" w:hAnsi="Arial"/>
                <w:sz w:val="14"/>
                <w:szCs w:val="16"/>
              </w:rPr>
            </w:pPr>
          </w:p>
        </w:tc>
        <w:tc>
          <w:tcPr>
            <w:tcW w:w="1531" w:type="dxa"/>
          </w:tcPr>
          <w:p w14:paraId="59A60596" w14:textId="77777777" w:rsidR="007A4931" w:rsidRPr="001C0BA7" w:rsidRDefault="007A4931" w:rsidP="00451BFF">
            <w:pPr>
              <w:keepNext/>
              <w:keepLines/>
              <w:spacing w:after="0"/>
              <w:rPr>
                <w:rFonts w:ascii="Arial" w:hAnsi="Arial"/>
                <w:sz w:val="14"/>
                <w:szCs w:val="16"/>
              </w:rPr>
            </w:pPr>
            <w:r w:rsidRPr="001045E3">
              <w:rPr>
                <w:rFonts w:ascii="Arial" w:hAnsi="Arial"/>
                <w:sz w:val="14"/>
                <w:szCs w:val="16"/>
              </w:rPr>
              <w:t xml:space="preserve">1) Optional with capability signalling. </w:t>
            </w:r>
            <w:r w:rsidRPr="001C0BA7">
              <w:rPr>
                <w:rFonts w:ascii="Arial" w:hAnsi="Arial"/>
                <w:sz w:val="14"/>
                <w:szCs w:val="16"/>
              </w:rPr>
              <w:t>Mandatory with capability signalling from Rel-16</w:t>
            </w:r>
          </w:p>
          <w:p w14:paraId="5131379D"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2) Conditional mandatory if the UE supports configured grant</w:t>
            </w:r>
          </w:p>
        </w:tc>
      </w:tr>
      <w:tr w:rsidR="007A4931" w:rsidRPr="00FE2E83" w14:paraId="4DE27F6B" w14:textId="77777777" w:rsidTr="001C0BA7">
        <w:trPr>
          <w:tblHeader/>
        </w:trPr>
        <w:tc>
          <w:tcPr>
            <w:tcW w:w="1142" w:type="dxa"/>
            <w:vMerge w:val="restart"/>
          </w:tcPr>
          <w:p w14:paraId="735808E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Measurements</w:t>
            </w:r>
          </w:p>
        </w:tc>
        <w:tc>
          <w:tcPr>
            <w:tcW w:w="582" w:type="dxa"/>
          </w:tcPr>
          <w:p w14:paraId="135B9E0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4-1</w:t>
            </w:r>
          </w:p>
        </w:tc>
        <w:tc>
          <w:tcPr>
            <w:tcW w:w="1143" w:type="dxa"/>
          </w:tcPr>
          <w:p w14:paraId="3CCB41D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Intra-NR measurements and reports</w:t>
            </w:r>
          </w:p>
        </w:tc>
        <w:tc>
          <w:tcPr>
            <w:tcW w:w="2364" w:type="dxa"/>
          </w:tcPr>
          <w:p w14:paraId="5CA9F59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Intra-frequency and inter-frequency measurements and reports</w:t>
            </w:r>
          </w:p>
          <w:p w14:paraId="7F3FF1A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Event A-based measurement and measurement report</w:t>
            </w:r>
          </w:p>
        </w:tc>
        <w:tc>
          <w:tcPr>
            <w:tcW w:w="1026" w:type="dxa"/>
          </w:tcPr>
          <w:p w14:paraId="5325A1C7" w14:textId="77777777" w:rsidR="007A4931" w:rsidRPr="00FE2E83" w:rsidRDefault="007A4931" w:rsidP="00451BFF">
            <w:pPr>
              <w:keepNext/>
              <w:keepLines/>
              <w:spacing w:after="0"/>
              <w:rPr>
                <w:rFonts w:ascii="Arial" w:hAnsi="Arial"/>
                <w:sz w:val="14"/>
                <w:szCs w:val="16"/>
              </w:rPr>
            </w:pPr>
          </w:p>
        </w:tc>
        <w:tc>
          <w:tcPr>
            <w:tcW w:w="1555" w:type="dxa"/>
          </w:tcPr>
          <w:p w14:paraId="65BC258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intraAndInterF-MeasAndReport</w:t>
            </w:r>
          </w:p>
          <w:p w14:paraId="7DF8D53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w:t>
            </w:r>
            <w:r w:rsidRPr="00FE2E83">
              <w:rPr>
                <w:rFonts w:ascii="Arial" w:hAnsi="Arial"/>
                <w:i/>
                <w:sz w:val="14"/>
                <w:szCs w:val="16"/>
              </w:rPr>
              <w:t>eventA-MeasAndReport</w:t>
            </w:r>
          </w:p>
        </w:tc>
        <w:tc>
          <w:tcPr>
            <w:tcW w:w="2372" w:type="dxa"/>
          </w:tcPr>
          <w:p w14:paraId="4E1917D1"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MeasAndMobParametersXDD-Diff</w:t>
            </w:r>
          </w:p>
        </w:tc>
        <w:tc>
          <w:tcPr>
            <w:tcW w:w="1150" w:type="dxa"/>
          </w:tcPr>
          <w:p w14:paraId="33B38F9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Yes</w:t>
            </w:r>
          </w:p>
        </w:tc>
        <w:tc>
          <w:tcPr>
            <w:tcW w:w="1150" w:type="dxa"/>
          </w:tcPr>
          <w:p w14:paraId="0A990F9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2CF8DFDD" w14:textId="77777777" w:rsidR="007A4931" w:rsidRPr="00FE2E83" w:rsidRDefault="007A4931" w:rsidP="00451BFF">
            <w:pPr>
              <w:keepNext/>
              <w:keepLines/>
              <w:spacing w:after="0"/>
              <w:rPr>
                <w:rFonts w:ascii="Arial" w:hAnsi="Arial"/>
                <w:sz w:val="14"/>
                <w:szCs w:val="16"/>
              </w:rPr>
            </w:pPr>
          </w:p>
        </w:tc>
        <w:tc>
          <w:tcPr>
            <w:tcW w:w="1531" w:type="dxa"/>
          </w:tcPr>
          <w:p w14:paraId="62B0F55A"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 when EN-DC is configured. Mandatory without capability signalling for NR SA.</w:t>
            </w:r>
          </w:p>
        </w:tc>
      </w:tr>
      <w:tr w:rsidR="007A4931" w:rsidRPr="00FE2E83" w14:paraId="4B3CFE23" w14:textId="77777777" w:rsidTr="001C0BA7">
        <w:trPr>
          <w:tblHeader/>
        </w:trPr>
        <w:tc>
          <w:tcPr>
            <w:tcW w:w="1142" w:type="dxa"/>
            <w:vMerge/>
          </w:tcPr>
          <w:p w14:paraId="053F039E" w14:textId="77777777" w:rsidR="007A4931" w:rsidRPr="00FE2E83" w:rsidRDefault="007A4931" w:rsidP="00451BFF">
            <w:pPr>
              <w:keepNext/>
              <w:keepLines/>
              <w:spacing w:after="0"/>
              <w:rPr>
                <w:rFonts w:ascii="Arial" w:hAnsi="Arial"/>
                <w:sz w:val="14"/>
                <w:szCs w:val="16"/>
              </w:rPr>
            </w:pPr>
          </w:p>
        </w:tc>
        <w:tc>
          <w:tcPr>
            <w:tcW w:w="582" w:type="dxa"/>
          </w:tcPr>
          <w:p w14:paraId="5D7A6C6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4-2</w:t>
            </w:r>
          </w:p>
        </w:tc>
        <w:tc>
          <w:tcPr>
            <w:tcW w:w="1143" w:type="dxa"/>
          </w:tcPr>
          <w:p w14:paraId="3C9DD1D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Inter-NR measurement and reports while in LTE connected</w:t>
            </w:r>
          </w:p>
        </w:tc>
        <w:tc>
          <w:tcPr>
            <w:tcW w:w="2364" w:type="dxa"/>
          </w:tcPr>
          <w:p w14:paraId="0D87C27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NR measurement and reports while in LTE connected</w:t>
            </w:r>
          </w:p>
          <w:p w14:paraId="2C3CA3F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Event B1-based measurement and reports while in LTE connected</w:t>
            </w:r>
          </w:p>
        </w:tc>
        <w:tc>
          <w:tcPr>
            <w:tcW w:w="1026" w:type="dxa"/>
          </w:tcPr>
          <w:p w14:paraId="2D6A951E" w14:textId="77777777" w:rsidR="007A4931" w:rsidRPr="00FE2E83" w:rsidRDefault="007A4931" w:rsidP="00451BFF">
            <w:pPr>
              <w:keepNext/>
              <w:keepLines/>
              <w:spacing w:after="0"/>
              <w:rPr>
                <w:rFonts w:ascii="Arial" w:hAnsi="Arial"/>
                <w:sz w:val="14"/>
                <w:szCs w:val="16"/>
              </w:rPr>
            </w:pPr>
          </w:p>
        </w:tc>
        <w:tc>
          <w:tcPr>
            <w:tcW w:w="1555" w:type="dxa"/>
          </w:tcPr>
          <w:p w14:paraId="6CE772B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0627E57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439BC98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4A8FD13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A5AA851" w14:textId="77777777" w:rsidR="007A4931" w:rsidRPr="00FE2E83" w:rsidRDefault="007A4931" w:rsidP="00451BFF">
            <w:pPr>
              <w:keepNext/>
              <w:keepLines/>
              <w:spacing w:after="0"/>
              <w:rPr>
                <w:rFonts w:ascii="Arial" w:hAnsi="Arial"/>
                <w:sz w:val="14"/>
                <w:szCs w:val="16"/>
              </w:rPr>
            </w:pPr>
          </w:p>
        </w:tc>
        <w:tc>
          <w:tcPr>
            <w:tcW w:w="1531" w:type="dxa"/>
          </w:tcPr>
          <w:p w14:paraId="52F7E3C5"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198B8257" w14:textId="77777777" w:rsidTr="001C0BA7">
        <w:trPr>
          <w:tblHeader/>
        </w:trPr>
        <w:tc>
          <w:tcPr>
            <w:tcW w:w="1142" w:type="dxa"/>
            <w:vMerge/>
          </w:tcPr>
          <w:p w14:paraId="54B83059" w14:textId="77777777" w:rsidR="007A4931" w:rsidRPr="00FE2E83" w:rsidRDefault="007A4931" w:rsidP="00451BFF">
            <w:pPr>
              <w:keepNext/>
              <w:keepLines/>
              <w:spacing w:after="0"/>
              <w:rPr>
                <w:rFonts w:ascii="Arial" w:hAnsi="Arial"/>
                <w:sz w:val="14"/>
                <w:szCs w:val="16"/>
              </w:rPr>
            </w:pPr>
          </w:p>
        </w:tc>
        <w:tc>
          <w:tcPr>
            <w:tcW w:w="582" w:type="dxa"/>
          </w:tcPr>
          <w:p w14:paraId="3923A19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4-5</w:t>
            </w:r>
          </w:p>
        </w:tc>
        <w:tc>
          <w:tcPr>
            <w:tcW w:w="1143" w:type="dxa"/>
          </w:tcPr>
          <w:p w14:paraId="26FB273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ANR</w:t>
            </w:r>
          </w:p>
        </w:tc>
        <w:tc>
          <w:tcPr>
            <w:tcW w:w="2364" w:type="dxa"/>
          </w:tcPr>
          <w:p w14:paraId="0C1BA75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CGI reporting of EUTRA cell when EN-DC is not configured</w:t>
            </w:r>
          </w:p>
          <w:p w14:paraId="1BEFB05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CGI reporting of NR cell when EN-DC is not configured</w:t>
            </w:r>
          </w:p>
          <w:p w14:paraId="554BC2A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CGI reporting of NR cell when EN-DC is configured</w:t>
            </w:r>
          </w:p>
        </w:tc>
        <w:tc>
          <w:tcPr>
            <w:tcW w:w="1026" w:type="dxa"/>
          </w:tcPr>
          <w:p w14:paraId="567684F6" w14:textId="77777777" w:rsidR="007A4931" w:rsidRPr="00FE2E83" w:rsidRDefault="007A4931" w:rsidP="00451BFF">
            <w:pPr>
              <w:keepNext/>
              <w:keepLines/>
              <w:spacing w:after="0"/>
              <w:rPr>
                <w:rFonts w:ascii="Arial" w:hAnsi="Arial"/>
                <w:sz w:val="14"/>
                <w:szCs w:val="16"/>
              </w:rPr>
            </w:pPr>
          </w:p>
        </w:tc>
        <w:tc>
          <w:tcPr>
            <w:tcW w:w="1555" w:type="dxa"/>
          </w:tcPr>
          <w:p w14:paraId="1BD7AF7B" w14:textId="77777777" w:rsidR="007A4931" w:rsidRPr="00FE2E83" w:rsidRDefault="007A4931" w:rsidP="00451BFF">
            <w:pPr>
              <w:keepNext/>
              <w:keepLines/>
              <w:spacing w:after="0"/>
              <w:rPr>
                <w:rFonts w:ascii="Arial" w:hAnsi="Arial"/>
                <w:sz w:val="14"/>
                <w:szCs w:val="16"/>
                <w:lang w:val="sv-SE"/>
              </w:rPr>
            </w:pPr>
            <w:r w:rsidRPr="00FE2E83">
              <w:rPr>
                <w:rFonts w:ascii="Arial" w:hAnsi="Arial"/>
                <w:sz w:val="14"/>
                <w:szCs w:val="16"/>
                <w:lang w:val="sv-SE"/>
              </w:rPr>
              <w:t xml:space="preserve">1) </w:t>
            </w:r>
            <w:r w:rsidRPr="00FE2E83">
              <w:rPr>
                <w:rFonts w:ascii="Arial" w:hAnsi="Arial"/>
                <w:i/>
                <w:sz w:val="14"/>
                <w:szCs w:val="16"/>
                <w:lang w:val="sv-SE"/>
              </w:rPr>
              <w:t>eutra-CGI-Reporting</w:t>
            </w:r>
          </w:p>
          <w:p w14:paraId="3C73BA8E" w14:textId="77777777" w:rsidR="007A4931" w:rsidRPr="00FE2E83" w:rsidRDefault="007A4931" w:rsidP="00451BFF">
            <w:pPr>
              <w:keepNext/>
              <w:keepLines/>
              <w:spacing w:after="0"/>
              <w:rPr>
                <w:rFonts w:ascii="Arial" w:hAnsi="Arial"/>
                <w:sz w:val="14"/>
                <w:szCs w:val="16"/>
                <w:lang w:val="sv-SE"/>
              </w:rPr>
            </w:pPr>
            <w:r w:rsidRPr="00FE2E83">
              <w:rPr>
                <w:rFonts w:ascii="Arial" w:hAnsi="Arial"/>
                <w:sz w:val="14"/>
                <w:szCs w:val="16"/>
                <w:lang w:val="sv-SE"/>
              </w:rPr>
              <w:t xml:space="preserve">2) </w:t>
            </w:r>
            <w:r w:rsidRPr="00FE2E83">
              <w:rPr>
                <w:rFonts w:ascii="Arial" w:hAnsi="Arial"/>
                <w:i/>
                <w:sz w:val="14"/>
                <w:szCs w:val="16"/>
                <w:lang w:val="sv-SE"/>
              </w:rPr>
              <w:t>nr-CGI-Reporting</w:t>
            </w:r>
          </w:p>
          <w:p w14:paraId="3EC8AE4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nr-CGI-Reporting-ENDC</w:t>
            </w:r>
          </w:p>
        </w:tc>
        <w:tc>
          <w:tcPr>
            <w:tcW w:w="2372" w:type="dxa"/>
          </w:tcPr>
          <w:p w14:paraId="33D1D732"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MeasAndMobParametersCommon</w:t>
            </w:r>
          </w:p>
        </w:tc>
        <w:tc>
          <w:tcPr>
            <w:tcW w:w="1150" w:type="dxa"/>
          </w:tcPr>
          <w:p w14:paraId="14395C0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778B46B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3525993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and 2) SA only</w:t>
            </w:r>
          </w:p>
          <w:p w14:paraId="7E74148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EN-DC only</w:t>
            </w:r>
          </w:p>
          <w:p w14:paraId="464412F9" w14:textId="77777777" w:rsidR="007A4931" w:rsidRPr="00FE2E83" w:rsidRDefault="007A4931" w:rsidP="00451BFF">
            <w:pPr>
              <w:keepNext/>
              <w:keepLines/>
              <w:spacing w:after="0"/>
              <w:rPr>
                <w:rFonts w:ascii="Arial" w:hAnsi="Arial"/>
                <w:sz w:val="14"/>
                <w:szCs w:val="16"/>
              </w:rPr>
            </w:pPr>
          </w:p>
          <w:p w14:paraId="3C98C09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Autonomous gap is not supported when ANR (towards NR neighbour cells) configured by NR PCell in NR SA and when ANR (towards NR neighbouring cells) configured by NR PSCell in EN-DC.</w:t>
            </w:r>
          </w:p>
        </w:tc>
        <w:tc>
          <w:tcPr>
            <w:tcW w:w="1531" w:type="dxa"/>
          </w:tcPr>
          <w:p w14:paraId="4B210412"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0F853B7C" w14:textId="77777777" w:rsidTr="001C0BA7">
        <w:trPr>
          <w:tblHeader/>
        </w:trPr>
        <w:tc>
          <w:tcPr>
            <w:tcW w:w="1142" w:type="dxa"/>
            <w:vMerge/>
          </w:tcPr>
          <w:p w14:paraId="18140D43" w14:textId="77777777" w:rsidR="007A4931" w:rsidRPr="00FE2E83" w:rsidRDefault="007A4931" w:rsidP="00451BFF">
            <w:pPr>
              <w:keepNext/>
              <w:keepLines/>
              <w:spacing w:after="0"/>
              <w:rPr>
                <w:rFonts w:ascii="Arial" w:hAnsi="Arial"/>
                <w:sz w:val="14"/>
                <w:szCs w:val="16"/>
              </w:rPr>
            </w:pPr>
          </w:p>
        </w:tc>
        <w:tc>
          <w:tcPr>
            <w:tcW w:w="582" w:type="dxa"/>
          </w:tcPr>
          <w:p w14:paraId="544D8C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4-6</w:t>
            </w:r>
          </w:p>
        </w:tc>
        <w:tc>
          <w:tcPr>
            <w:tcW w:w="1143" w:type="dxa"/>
          </w:tcPr>
          <w:p w14:paraId="3E017D0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LTE measurement and reporting while in NR connected</w:t>
            </w:r>
          </w:p>
        </w:tc>
        <w:tc>
          <w:tcPr>
            <w:tcW w:w="2364" w:type="dxa"/>
          </w:tcPr>
          <w:p w14:paraId="5A25330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Periodic measurement and reporting while NR connected.</w:t>
            </w:r>
          </w:p>
          <w:p w14:paraId="60237F1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Event B#N-based measurement and reporting while NR connected</w:t>
            </w:r>
          </w:p>
        </w:tc>
        <w:tc>
          <w:tcPr>
            <w:tcW w:w="1026" w:type="dxa"/>
          </w:tcPr>
          <w:p w14:paraId="4CCE7BC1" w14:textId="77777777" w:rsidR="007A4931" w:rsidRPr="00FE2E83" w:rsidRDefault="007A4931" w:rsidP="00451BFF">
            <w:pPr>
              <w:keepNext/>
              <w:keepLines/>
              <w:spacing w:after="0"/>
              <w:rPr>
                <w:rFonts w:ascii="Arial" w:hAnsi="Arial"/>
                <w:sz w:val="14"/>
                <w:szCs w:val="16"/>
              </w:rPr>
            </w:pPr>
          </w:p>
        </w:tc>
        <w:tc>
          <w:tcPr>
            <w:tcW w:w="1555" w:type="dxa"/>
          </w:tcPr>
          <w:p w14:paraId="286E670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periodicEUTRA-MeasAndReport</w:t>
            </w:r>
          </w:p>
          <w:p w14:paraId="2E72DE5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w:t>
            </w:r>
            <w:r w:rsidRPr="00FE2E83">
              <w:rPr>
                <w:rFonts w:ascii="Arial" w:hAnsi="Arial"/>
                <w:i/>
                <w:sz w:val="14"/>
                <w:szCs w:val="16"/>
              </w:rPr>
              <w:t>eventB-MeasAndReport</w:t>
            </w:r>
          </w:p>
        </w:tc>
        <w:tc>
          <w:tcPr>
            <w:tcW w:w="2372" w:type="dxa"/>
          </w:tcPr>
          <w:p w14:paraId="07C994CB"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MeasAndMobParametersCommon</w:t>
            </w:r>
          </w:p>
        </w:tc>
        <w:tc>
          <w:tcPr>
            <w:tcW w:w="1150" w:type="dxa"/>
          </w:tcPr>
          <w:p w14:paraId="5B5DDEA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3B337B4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410CCE4C" w14:textId="77777777" w:rsidR="007A4931" w:rsidRPr="00FE2E83" w:rsidRDefault="007A4931" w:rsidP="00451BFF">
            <w:pPr>
              <w:keepNext/>
              <w:keepLines/>
              <w:spacing w:after="0"/>
              <w:rPr>
                <w:rFonts w:ascii="Arial" w:hAnsi="Arial"/>
                <w:sz w:val="14"/>
                <w:szCs w:val="16"/>
              </w:rPr>
            </w:pPr>
          </w:p>
        </w:tc>
        <w:tc>
          <w:tcPr>
            <w:tcW w:w="1531" w:type="dxa"/>
          </w:tcPr>
          <w:p w14:paraId="23531759"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 if the UE supports LTE</w:t>
            </w:r>
          </w:p>
        </w:tc>
      </w:tr>
      <w:tr w:rsidR="007A4931" w:rsidRPr="00FE2E83" w14:paraId="1367F410" w14:textId="77777777" w:rsidTr="001C0BA7">
        <w:trPr>
          <w:tblHeader/>
        </w:trPr>
        <w:tc>
          <w:tcPr>
            <w:tcW w:w="1142" w:type="dxa"/>
            <w:vMerge w:val="restart"/>
          </w:tcPr>
          <w:p w14:paraId="0547BF6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SDAP</w:t>
            </w:r>
          </w:p>
        </w:tc>
        <w:tc>
          <w:tcPr>
            <w:tcW w:w="582" w:type="dxa"/>
          </w:tcPr>
          <w:p w14:paraId="2C8633C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5-1</w:t>
            </w:r>
          </w:p>
        </w:tc>
        <w:tc>
          <w:tcPr>
            <w:tcW w:w="1143" w:type="dxa"/>
          </w:tcPr>
          <w:p w14:paraId="337D019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QoS</w:t>
            </w:r>
          </w:p>
        </w:tc>
        <w:tc>
          <w:tcPr>
            <w:tcW w:w="2364" w:type="dxa"/>
          </w:tcPr>
          <w:p w14:paraId="5DB3668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Flow-based QoS</w:t>
            </w:r>
          </w:p>
          <w:p w14:paraId="467062D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Multiple flows to 1 DRB mapping</w:t>
            </w:r>
          </w:p>
          <w:p w14:paraId="608CB53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AS reflective QoS</w:t>
            </w:r>
          </w:p>
        </w:tc>
        <w:tc>
          <w:tcPr>
            <w:tcW w:w="1026" w:type="dxa"/>
          </w:tcPr>
          <w:p w14:paraId="1111A48D" w14:textId="77777777" w:rsidR="007A4931" w:rsidRPr="00FE2E83" w:rsidRDefault="007A4931" w:rsidP="00451BFF">
            <w:pPr>
              <w:keepNext/>
              <w:keepLines/>
              <w:spacing w:after="0"/>
              <w:rPr>
                <w:rFonts w:ascii="Arial" w:hAnsi="Arial"/>
                <w:sz w:val="14"/>
                <w:szCs w:val="16"/>
              </w:rPr>
            </w:pPr>
          </w:p>
        </w:tc>
        <w:tc>
          <w:tcPr>
            <w:tcW w:w="1555" w:type="dxa"/>
          </w:tcPr>
          <w:p w14:paraId="6CE2825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as-ReflectiveQoS</w:t>
            </w:r>
          </w:p>
        </w:tc>
        <w:tc>
          <w:tcPr>
            <w:tcW w:w="2372" w:type="dxa"/>
          </w:tcPr>
          <w:p w14:paraId="48AE8078"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SDAP-Parameters</w:t>
            </w:r>
          </w:p>
        </w:tc>
        <w:tc>
          <w:tcPr>
            <w:tcW w:w="1150" w:type="dxa"/>
          </w:tcPr>
          <w:p w14:paraId="69835F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6FE1447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300B860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4521B8CC"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1), 2) Mandatory without capability signalling</w:t>
            </w:r>
          </w:p>
          <w:p w14:paraId="39BB466C" w14:textId="77777777" w:rsidR="007A4931" w:rsidRPr="001C0BA7" w:rsidRDefault="007A4931" w:rsidP="00451BFF">
            <w:pPr>
              <w:keepNext/>
              <w:keepLines/>
              <w:spacing w:after="0"/>
              <w:rPr>
                <w:rFonts w:ascii="Arial" w:hAnsi="Arial"/>
                <w:sz w:val="14"/>
                <w:szCs w:val="16"/>
              </w:rPr>
            </w:pPr>
            <w:r w:rsidRPr="001045E3">
              <w:rPr>
                <w:rFonts w:ascii="Arial" w:hAnsi="Arial"/>
                <w:sz w:val="14"/>
                <w:szCs w:val="16"/>
              </w:rPr>
              <w:t>3) Optional with capability signalling</w:t>
            </w:r>
          </w:p>
        </w:tc>
      </w:tr>
      <w:tr w:rsidR="007A4931" w:rsidRPr="00FE2E83" w14:paraId="31501891" w14:textId="77777777" w:rsidTr="001C0BA7">
        <w:trPr>
          <w:tblHeader/>
        </w:trPr>
        <w:tc>
          <w:tcPr>
            <w:tcW w:w="1142" w:type="dxa"/>
            <w:vMerge/>
          </w:tcPr>
          <w:p w14:paraId="160ABE0A" w14:textId="77777777" w:rsidR="007A4931" w:rsidRPr="00FE2E83" w:rsidRDefault="007A4931" w:rsidP="00451BFF">
            <w:pPr>
              <w:keepNext/>
              <w:keepLines/>
              <w:spacing w:after="0"/>
              <w:rPr>
                <w:rFonts w:ascii="Arial" w:hAnsi="Arial"/>
                <w:sz w:val="14"/>
                <w:szCs w:val="16"/>
              </w:rPr>
            </w:pPr>
          </w:p>
        </w:tc>
        <w:tc>
          <w:tcPr>
            <w:tcW w:w="582" w:type="dxa"/>
          </w:tcPr>
          <w:p w14:paraId="3529504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5-2</w:t>
            </w:r>
          </w:p>
        </w:tc>
        <w:tc>
          <w:tcPr>
            <w:tcW w:w="1143" w:type="dxa"/>
          </w:tcPr>
          <w:p w14:paraId="0CF8F0E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HD format</w:t>
            </w:r>
          </w:p>
        </w:tc>
        <w:tc>
          <w:tcPr>
            <w:tcW w:w="2364" w:type="dxa"/>
          </w:tcPr>
          <w:p w14:paraId="453DE01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DL SDAP HD</w:t>
            </w:r>
          </w:p>
          <w:p w14:paraId="71CA07C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UL SDAP HD</w:t>
            </w:r>
          </w:p>
          <w:p w14:paraId="6E9A279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SDAP End-marker</w:t>
            </w:r>
          </w:p>
        </w:tc>
        <w:tc>
          <w:tcPr>
            <w:tcW w:w="1026" w:type="dxa"/>
          </w:tcPr>
          <w:p w14:paraId="2AED2605" w14:textId="77777777" w:rsidR="007A4931" w:rsidRPr="00FE2E83" w:rsidRDefault="007A4931" w:rsidP="00451BFF">
            <w:pPr>
              <w:keepNext/>
              <w:keepLines/>
              <w:spacing w:after="0"/>
              <w:rPr>
                <w:rFonts w:ascii="Arial" w:hAnsi="Arial"/>
                <w:sz w:val="14"/>
                <w:szCs w:val="16"/>
              </w:rPr>
            </w:pPr>
          </w:p>
        </w:tc>
        <w:tc>
          <w:tcPr>
            <w:tcW w:w="1555" w:type="dxa"/>
          </w:tcPr>
          <w:p w14:paraId="66D84BC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12E019D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A4B187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6DF5F67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FFC919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676A126A"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1) Conditional mandatory if either NAS reflective QoS or AS reflective QoS is supported.  No capability signalling is needed</w:t>
            </w:r>
            <w:r w:rsidRPr="001045E3">
              <w:rPr>
                <w:rFonts w:ascii="Arial" w:hAnsi="Arial"/>
                <w:sz w:val="14"/>
                <w:szCs w:val="16"/>
              </w:rPr>
              <w:t>.</w:t>
            </w:r>
          </w:p>
          <w:p w14:paraId="6B514E10"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2), 3) Mandatory without capability signalling</w:t>
            </w:r>
          </w:p>
        </w:tc>
      </w:tr>
      <w:tr w:rsidR="007A4931" w:rsidRPr="00FE2E83" w14:paraId="58712C3D" w14:textId="77777777" w:rsidTr="001C0BA7">
        <w:trPr>
          <w:tblHeader/>
        </w:trPr>
        <w:tc>
          <w:tcPr>
            <w:tcW w:w="1142" w:type="dxa"/>
          </w:tcPr>
          <w:p w14:paraId="68CB481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 Inactive</w:t>
            </w:r>
          </w:p>
        </w:tc>
        <w:tc>
          <w:tcPr>
            <w:tcW w:w="582" w:type="dxa"/>
          </w:tcPr>
          <w:p w14:paraId="59999D4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6-1</w:t>
            </w:r>
          </w:p>
        </w:tc>
        <w:tc>
          <w:tcPr>
            <w:tcW w:w="1143" w:type="dxa"/>
          </w:tcPr>
          <w:p w14:paraId="7532ACF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RRC inactive</w:t>
            </w:r>
          </w:p>
        </w:tc>
        <w:tc>
          <w:tcPr>
            <w:tcW w:w="2364" w:type="dxa"/>
          </w:tcPr>
          <w:p w14:paraId="34225E3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RRC inactive</w:t>
            </w:r>
          </w:p>
        </w:tc>
        <w:tc>
          <w:tcPr>
            <w:tcW w:w="1026" w:type="dxa"/>
          </w:tcPr>
          <w:p w14:paraId="25853FC5" w14:textId="77777777" w:rsidR="007A4931" w:rsidRPr="00FE2E83" w:rsidRDefault="007A4931" w:rsidP="00451BFF">
            <w:pPr>
              <w:keepNext/>
              <w:keepLines/>
              <w:spacing w:after="0"/>
              <w:rPr>
                <w:rFonts w:ascii="Arial" w:hAnsi="Arial"/>
                <w:sz w:val="14"/>
                <w:szCs w:val="16"/>
              </w:rPr>
            </w:pPr>
          </w:p>
        </w:tc>
        <w:tc>
          <w:tcPr>
            <w:tcW w:w="1555" w:type="dxa"/>
          </w:tcPr>
          <w:p w14:paraId="03EC2F9A"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inactiveState</w:t>
            </w:r>
          </w:p>
        </w:tc>
        <w:tc>
          <w:tcPr>
            <w:tcW w:w="2372" w:type="dxa"/>
          </w:tcPr>
          <w:p w14:paraId="16EAE1EB"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UE-NR-Capability-v1530</w:t>
            </w:r>
          </w:p>
        </w:tc>
        <w:tc>
          <w:tcPr>
            <w:tcW w:w="1150" w:type="dxa"/>
          </w:tcPr>
          <w:p w14:paraId="4BE9A5F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5D9124B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243B33F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0E4635C6"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69BA90E9" w14:textId="77777777" w:rsidTr="001C0BA7">
        <w:trPr>
          <w:tblHeader/>
        </w:trPr>
        <w:tc>
          <w:tcPr>
            <w:tcW w:w="1142" w:type="dxa"/>
          </w:tcPr>
          <w:p w14:paraId="08BAF89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 Mobility</w:t>
            </w:r>
          </w:p>
        </w:tc>
        <w:tc>
          <w:tcPr>
            <w:tcW w:w="582" w:type="dxa"/>
          </w:tcPr>
          <w:p w14:paraId="07DF062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7-1</w:t>
            </w:r>
          </w:p>
        </w:tc>
        <w:tc>
          <w:tcPr>
            <w:tcW w:w="1143" w:type="dxa"/>
          </w:tcPr>
          <w:p w14:paraId="11FAFAF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Handover</w:t>
            </w:r>
          </w:p>
        </w:tc>
        <w:tc>
          <w:tcPr>
            <w:tcW w:w="2364" w:type="dxa"/>
          </w:tcPr>
          <w:p w14:paraId="647A29BF"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1) Intra-frequency HO</w:t>
            </w:r>
          </w:p>
          <w:p w14:paraId="3DA06CB0"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2) Inter-frequency HO</w:t>
            </w:r>
          </w:p>
          <w:p w14:paraId="4E766FC8"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3) HO between TDD and FDD</w:t>
            </w:r>
          </w:p>
          <w:p w14:paraId="30AB2F50"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4) HO from NR to LTE</w:t>
            </w:r>
          </w:p>
          <w:p w14:paraId="3242D9DE"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5) HO from NR to LTE with 5GC</w:t>
            </w:r>
          </w:p>
          <w:p w14:paraId="49ACF044"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6) HO between FR1 and FR2</w:t>
            </w:r>
          </w:p>
        </w:tc>
        <w:tc>
          <w:tcPr>
            <w:tcW w:w="1026" w:type="dxa"/>
          </w:tcPr>
          <w:p w14:paraId="0A8A39A6" w14:textId="77777777" w:rsidR="007A4931" w:rsidRPr="00FE2E83" w:rsidRDefault="007A4931" w:rsidP="00451BFF">
            <w:pPr>
              <w:keepNext/>
              <w:keepLines/>
              <w:spacing w:after="0"/>
              <w:rPr>
                <w:rFonts w:ascii="Arial" w:hAnsi="Arial"/>
                <w:sz w:val="14"/>
                <w:szCs w:val="16"/>
              </w:rPr>
            </w:pPr>
          </w:p>
        </w:tc>
        <w:tc>
          <w:tcPr>
            <w:tcW w:w="1555" w:type="dxa"/>
          </w:tcPr>
          <w:p w14:paraId="73D239B8" w14:textId="77777777" w:rsidR="007A4931" w:rsidRPr="00387F05" w:rsidRDefault="007A4931" w:rsidP="00451BFF">
            <w:pPr>
              <w:keepNext/>
              <w:keepLines/>
              <w:spacing w:after="0"/>
              <w:rPr>
                <w:rFonts w:ascii="Arial" w:hAnsi="Arial"/>
                <w:sz w:val="14"/>
                <w:szCs w:val="16"/>
                <w:lang w:val="sv-SE"/>
              </w:rPr>
            </w:pPr>
            <w:r w:rsidRPr="00387F05">
              <w:rPr>
                <w:rFonts w:ascii="Arial" w:hAnsi="Arial"/>
                <w:sz w:val="14"/>
                <w:szCs w:val="16"/>
                <w:lang w:val="sv-SE"/>
              </w:rPr>
              <w:t xml:space="preserve">2) </w:t>
            </w:r>
            <w:r w:rsidRPr="00387F05">
              <w:rPr>
                <w:rFonts w:ascii="Arial" w:hAnsi="Arial"/>
                <w:i/>
                <w:sz w:val="14"/>
                <w:szCs w:val="16"/>
                <w:lang w:val="sv-SE"/>
              </w:rPr>
              <w:t>handoverInterF</w:t>
            </w:r>
          </w:p>
          <w:p w14:paraId="62FD2C52" w14:textId="77777777" w:rsidR="007A4931" w:rsidRPr="00387F05" w:rsidRDefault="007A4931" w:rsidP="00451BFF">
            <w:pPr>
              <w:keepNext/>
              <w:keepLines/>
              <w:spacing w:after="0"/>
              <w:rPr>
                <w:rFonts w:ascii="Arial" w:hAnsi="Arial"/>
                <w:sz w:val="14"/>
                <w:szCs w:val="16"/>
                <w:lang w:val="sv-SE"/>
              </w:rPr>
            </w:pPr>
            <w:r w:rsidRPr="00387F05">
              <w:rPr>
                <w:rFonts w:ascii="Arial" w:hAnsi="Arial"/>
                <w:sz w:val="14"/>
                <w:szCs w:val="16"/>
                <w:lang w:val="sv-SE"/>
              </w:rPr>
              <w:t xml:space="preserve">3) </w:t>
            </w:r>
            <w:r w:rsidRPr="00387F05">
              <w:rPr>
                <w:rFonts w:ascii="Arial" w:hAnsi="Arial"/>
                <w:i/>
                <w:sz w:val="14"/>
                <w:szCs w:val="16"/>
                <w:lang w:val="sv-SE"/>
              </w:rPr>
              <w:t>handoverFDD-TDD</w:t>
            </w:r>
          </w:p>
          <w:p w14:paraId="259A35F5" w14:textId="77777777" w:rsidR="007A4931" w:rsidRPr="00387F05" w:rsidRDefault="007A4931" w:rsidP="00451BFF">
            <w:pPr>
              <w:keepNext/>
              <w:keepLines/>
              <w:spacing w:after="0"/>
              <w:rPr>
                <w:rFonts w:ascii="Arial" w:hAnsi="Arial"/>
                <w:sz w:val="14"/>
                <w:szCs w:val="16"/>
                <w:lang w:val="sv-SE"/>
              </w:rPr>
            </w:pPr>
            <w:r w:rsidRPr="00387F05">
              <w:rPr>
                <w:rFonts w:ascii="Arial" w:hAnsi="Arial"/>
                <w:sz w:val="14"/>
                <w:szCs w:val="16"/>
                <w:lang w:val="sv-SE"/>
              </w:rPr>
              <w:t xml:space="preserve">4) </w:t>
            </w:r>
            <w:r w:rsidRPr="00387F05">
              <w:rPr>
                <w:rFonts w:ascii="Arial" w:hAnsi="Arial"/>
                <w:i/>
                <w:sz w:val="14"/>
                <w:szCs w:val="16"/>
                <w:lang w:val="sv-SE"/>
              </w:rPr>
              <w:t>handoverLTE-EPC</w:t>
            </w:r>
          </w:p>
          <w:p w14:paraId="2814CE9F" w14:textId="77777777" w:rsidR="007A4931" w:rsidRPr="00387F05" w:rsidRDefault="007A4931" w:rsidP="00451BFF">
            <w:pPr>
              <w:keepNext/>
              <w:keepLines/>
              <w:spacing w:after="0"/>
              <w:rPr>
                <w:rFonts w:ascii="Arial" w:hAnsi="Arial"/>
                <w:sz w:val="14"/>
                <w:szCs w:val="16"/>
                <w:lang w:val="sv-SE"/>
              </w:rPr>
            </w:pPr>
            <w:r w:rsidRPr="00387F05">
              <w:rPr>
                <w:rFonts w:ascii="Arial" w:hAnsi="Arial"/>
                <w:sz w:val="14"/>
                <w:szCs w:val="16"/>
                <w:lang w:val="sv-SE"/>
              </w:rPr>
              <w:t xml:space="preserve">5) </w:t>
            </w:r>
            <w:r w:rsidRPr="00387F05">
              <w:rPr>
                <w:rFonts w:ascii="Arial" w:hAnsi="Arial"/>
                <w:i/>
                <w:sz w:val="14"/>
                <w:szCs w:val="16"/>
                <w:lang w:val="sv-SE"/>
              </w:rPr>
              <w:t>handover-LTE-5GC</w:t>
            </w:r>
          </w:p>
          <w:p w14:paraId="414782B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6) </w:t>
            </w:r>
            <w:r w:rsidRPr="00FE2E83">
              <w:rPr>
                <w:rFonts w:ascii="Arial" w:hAnsi="Arial"/>
                <w:i/>
                <w:sz w:val="14"/>
                <w:szCs w:val="16"/>
              </w:rPr>
              <w:t>handoverFR1-FR2</w:t>
            </w:r>
          </w:p>
        </w:tc>
        <w:tc>
          <w:tcPr>
            <w:tcW w:w="2372" w:type="dxa"/>
          </w:tcPr>
          <w:p w14:paraId="6F6DFE2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6) </w:t>
            </w:r>
            <w:r w:rsidRPr="00FE2E83">
              <w:rPr>
                <w:rFonts w:ascii="Arial" w:hAnsi="Arial"/>
                <w:i/>
                <w:sz w:val="14"/>
                <w:szCs w:val="16"/>
              </w:rPr>
              <w:t>MeasAndMobParametersCommon</w:t>
            </w:r>
          </w:p>
          <w:p w14:paraId="69BC9C1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4), 5) </w:t>
            </w:r>
            <w:r w:rsidRPr="00FE2E83">
              <w:rPr>
                <w:rFonts w:ascii="Arial" w:hAnsi="Arial"/>
                <w:i/>
                <w:sz w:val="14"/>
                <w:szCs w:val="16"/>
              </w:rPr>
              <w:t>MeasAndMobParametersXDD-Diff</w:t>
            </w:r>
            <w:r w:rsidRPr="00FE2E83">
              <w:rPr>
                <w:rFonts w:ascii="Arial" w:hAnsi="Arial"/>
                <w:sz w:val="14"/>
                <w:szCs w:val="16"/>
              </w:rPr>
              <w:t xml:space="preserve"> and </w:t>
            </w:r>
            <w:r w:rsidRPr="00FE2E83">
              <w:rPr>
                <w:rFonts w:ascii="Arial" w:hAnsi="Arial"/>
                <w:i/>
                <w:sz w:val="14"/>
                <w:szCs w:val="16"/>
              </w:rPr>
              <w:t>MeasAndMobParametersFRX-Diff</w:t>
            </w:r>
          </w:p>
        </w:tc>
        <w:tc>
          <w:tcPr>
            <w:tcW w:w="1150" w:type="dxa"/>
          </w:tcPr>
          <w:p w14:paraId="03BD5B4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3), 6) No</w:t>
            </w:r>
          </w:p>
          <w:p w14:paraId="12627CD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4), 5) Yes</w:t>
            </w:r>
          </w:p>
        </w:tc>
        <w:tc>
          <w:tcPr>
            <w:tcW w:w="1150" w:type="dxa"/>
          </w:tcPr>
          <w:p w14:paraId="675D299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3), 6) No</w:t>
            </w:r>
          </w:p>
          <w:p w14:paraId="7C1150A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4), 5) Yes</w:t>
            </w:r>
          </w:p>
        </w:tc>
        <w:tc>
          <w:tcPr>
            <w:tcW w:w="1166" w:type="dxa"/>
          </w:tcPr>
          <w:p w14:paraId="3F4F3B5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5DA3F5AF"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1) Mandatory without capability signalling</w:t>
            </w:r>
          </w:p>
          <w:p w14:paraId="76151130"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2) Mandatory with capability signalling</w:t>
            </w:r>
          </w:p>
          <w:p w14:paraId="21415DBE"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3) Mandatory with capability signalling if the UE supports both TDD and FDD.</w:t>
            </w:r>
          </w:p>
          <w:p w14:paraId="63B60CE0"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4) and 5) Mandatory with capability signalling if the UE supports the associated RAT.</w:t>
            </w:r>
          </w:p>
          <w:p w14:paraId="5A18D8D2"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6) Mandatory with capability signalling if the UE supports both FR1 and FR2.</w:t>
            </w:r>
          </w:p>
        </w:tc>
      </w:tr>
      <w:tr w:rsidR="007A4931" w:rsidRPr="00FE2E83" w14:paraId="4564F326" w14:textId="77777777" w:rsidTr="001C0BA7">
        <w:trPr>
          <w:tblHeader/>
        </w:trPr>
        <w:tc>
          <w:tcPr>
            <w:tcW w:w="1142" w:type="dxa"/>
          </w:tcPr>
          <w:p w14:paraId="35563AD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8. Idle/inactive UE procedures</w:t>
            </w:r>
          </w:p>
        </w:tc>
        <w:tc>
          <w:tcPr>
            <w:tcW w:w="582" w:type="dxa"/>
          </w:tcPr>
          <w:p w14:paraId="481C688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8-1</w:t>
            </w:r>
          </w:p>
        </w:tc>
        <w:tc>
          <w:tcPr>
            <w:tcW w:w="1143" w:type="dxa"/>
          </w:tcPr>
          <w:p w14:paraId="04E1F64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System information acquisition</w:t>
            </w:r>
          </w:p>
        </w:tc>
        <w:tc>
          <w:tcPr>
            <w:tcW w:w="2364" w:type="dxa"/>
          </w:tcPr>
          <w:p w14:paraId="6BB0E9D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Msg.1 based on-demand SI provisioning</w:t>
            </w:r>
          </w:p>
          <w:p w14:paraId="7D07A8D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Msg.3 based on-demand SI provisioning</w:t>
            </w:r>
          </w:p>
        </w:tc>
        <w:tc>
          <w:tcPr>
            <w:tcW w:w="1026" w:type="dxa"/>
          </w:tcPr>
          <w:p w14:paraId="29E5CBFA" w14:textId="77777777" w:rsidR="007A4931" w:rsidRPr="00FE2E83" w:rsidRDefault="007A4931" w:rsidP="00451BFF">
            <w:pPr>
              <w:keepNext/>
              <w:keepLines/>
              <w:spacing w:after="0"/>
              <w:rPr>
                <w:rFonts w:ascii="Arial" w:hAnsi="Arial"/>
                <w:sz w:val="14"/>
                <w:szCs w:val="16"/>
              </w:rPr>
            </w:pPr>
          </w:p>
        </w:tc>
        <w:tc>
          <w:tcPr>
            <w:tcW w:w="1555" w:type="dxa"/>
          </w:tcPr>
          <w:p w14:paraId="6FCEF76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71F541F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68F0992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712FD0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524C36C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50DDED38"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7990A493" w14:textId="77777777" w:rsidTr="001C0BA7">
        <w:trPr>
          <w:tblHeader/>
        </w:trPr>
        <w:tc>
          <w:tcPr>
            <w:tcW w:w="1142" w:type="dxa"/>
            <w:vMerge w:val="restart"/>
          </w:tcPr>
          <w:p w14:paraId="4CD0C2E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 RRC</w:t>
            </w:r>
          </w:p>
        </w:tc>
        <w:tc>
          <w:tcPr>
            <w:tcW w:w="582" w:type="dxa"/>
          </w:tcPr>
          <w:p w14:paraId="7FD230C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9-1</w:t>
            </w:r>
          </w:p>
        </w:tc>
        <w:tc>
          <w:tcPr>
            <w:tcW w:w="1143" w:type="dxa"/>
          </w:tcPr>
          <w:p w14:paraId="3DA5E46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RRC buffer size</w:t>
            </w:r>
          </w:p>
        </w:tc>
        <w:tc>
          <w:tcPr>
            <w:tcW w:w="2364" w:type="dxa"/>
          </w:tcPr>
          <w:p w14:paraId="2037765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Maximum overall RRC configuration size</w:t>
            </w:r>
          </w:p>
        </w:tc>
        <w:tc>
          <w:tcPr>
            <w:tcW w:w="1026" w:type="dxa"/>
          </w:tcPr>
          <w:p w14:paraId="0AC2DECA" w14:textId="77777777" w:rsidR="007A4931" w:rsidRPr="00FE2E83" w:rsidRDefault="007A4931" w:rsidP="00451BFF">
            <w:pPr>
              <w:keepNext/>
              <w:keepLines/>
              <w:spacing w:after="0"/>
              <w:rPr>
                <w:rFonts w:ascii="Arial" w:hAnsi="Arial"/>
                <w:sz w:val="14"/>
                <w:szCs w:val="16"/>
              </w:rPr>
            </w:pPr>
          </w:p>
        </w:tc>
        <w:tc>
          <w:tcPr>
            <w:tcW w:w="1555" w:type="dxa"/>
          </w:tcPr>
          <w:p w14:paraId="70E9AB4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4F5D5A2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4B575D7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71A9378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3C52B91" w14:textId="77777777" w:rsidR="007A4931" w:rsidRPr="00FE2E83" w:rsidRDefault="007A4931" w:rsidP="00451BFF">
            <w:pPr>
              <w:keepNext/>
              <w:keepLines/>
              <w:spacing w:after="0"/>
              <w:rPr>
                <w:rFonts w:ascii="Arial" w:hAnsi="Arial"/>
                <w:sz w:val="14"/>
                <w:szCs w:val="16"/>
              </w:rPr>
            </w:pPr>
          </w:p>
        </w:tc>
        <w:tc>
          <w:tcPr>
            <w:tcW w:w="1531" w:type="dxa"/>
          </w:tcPr>
          <w:p w14:paraId="3E24F939"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45 Kbytes</w:t>
            </w:r>
          </w:p>
        </w:tc>
      </w:tr>
      <w:tr w:rsidR="007A4931" w:rsidRPr="00FE2E83" w14:paraId="4BACBAA8" w14:textId="77777777" w:rsidTr="001C0BA7">
        <w:trPr>
          <w:tblHeader/>
        </w:trPr>
        <w:tc>
          <w:tcPr>
            <w:tcW w:w="1142" w:type="dxa"/>
            <w:vMerge/>
          </w:tcPr>
          <w:p w14:paraId="3D069F6D" w14:textId="77777777" w:rsidR="007A4931" w:rsidRPr="00FE2E83" w:rsidRDefault="007A4931" w:rsidP="00451BFF">
            <w:pPr>
              <w:keepNext/>
              <w:keepLines/>
              <w:spacing w:after="0"/>
              <w:rPr>
                <w:rFonts w:ascii="Arial" w:hAnsi="Arial"/>
                <w:sz w:val="14"/>
                <w:szCs w:val="16"/>
              </w:rPr>
            </w:pPr>
          </w:p>
        </w:tc>
        <w:tc>
          <w:tcPr>
            <w:tcW w:w="582" w:type="dxa"/>
          </w:tcPr>
          <w:p w14:paraId="421EF48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9-2</w:t>
            </w:r>
          </w:p>
        </w:tc>
        <w:tc>
          <w:tcPr>
            <w:tcW w:w="1143" w:type="dxa"/>
          </w:tcPr>
          <w:p w14:paraId="389800B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RRC processing time</w:t>
            </w:r>
          </w:p>
        </w:tc>
        <w:tc>
          <w:tcPr>
            <w:tcW w:w="2364" w:type="dxa"/>
          </w:tcPr>
          <w:p w14:paraId="3A612BC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RRC connection establishment</w:t>
            </w:r>
          </w:p>
          <w:p w14:paraId="3CD83D7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RRC connection resume without SCell addition/release and SCG establishment/modification/release</w:t>
            </w:r>
          </w:p>
          <w:p w14:paraId="4EBADA7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RRC connection reconfiguration without SCell addition/release and SCG establishment/modification/release</w:t>
            </w:r>
          </w:p>
          <w:p w14:paraId="715BF81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RRC connection re-establishment.</w:t>
            </w:r>
          </w:p>
          <w:p w14:paraId="7048B98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RRC connection reconfiguration with sync procedure</w:t>
            </w:r>
          </w:p>
          <w:p w14:paraId="31018A8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 RRC connection reconfiguration with SCell addition/release or SCG establishment/modification/release</w:t>
            </w:r>
          </w:p>
          <w:p w14:paraId="232BBF2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 RRC connection resume</w:t>
            </w:r>
          </w:p>
          <w:p w14:paraId="6050DC6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8) Initial security activation</w:t>
            </w:r>
          </w:p>
          <w:p w14:paraId="1925810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 Counter check</w:t>
            </w:r>
          </w:p>
          <w:p w14:paraId="4ED439F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10) UE capability transfer</w:t>
            </w:r>
          </w:p>
        </w:tc>
        <w:tc>
          <w:tcPr>
            <w:tcW w:w="1026" w:type="dxa"/>
          </w:tcPr>
          <w:p w14:paraId="3EC1AB8D" w14:textId="77777777" w:rsidR="007A4931" w:rsidRPr="00FE2E83" w:rsidRDefault="007A4931" w:rsidP="00451BFF">
            <w:pPr>
              <w:keepNext/>
              <w:keepLines/>
              <w:spacing w:after="0"/>
              <w:rPr>
                <w:rFonts w:ascii="Arial" w:hAnsi="Arial"/>
                <w:sz w:val="14"/>
                <w:szCs w:val="16"/>
              </w:rPr>
            </w:pPr>
          </w:p>
        </w:tc>
        <w:tc>
          <w:tcPr>
            <w:tcW w:w="1555" w:type="dxa"/>
          </w:tcPr>
          <w:p w14:paraId="26DF17B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579E8D7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78A700D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9D787A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1C7AF166" w14:textId="77777777" w:rsidR="007A4931" w:rsidRPr="00FE2E83" w:rsidRDefault="007A4931" w:rsidP="00451BFF">
            <w:pPr>
              <w:keepNext/>
              <w:keepLines/>
              <w:spacing w:after="0"/>
              <w:rPr>
                <w:rFonts w:ascii="Arial" w:hAnsi="Arial"/>
                <w:sz w:val="14"/>
                <w:szCs w:val="16"/>
              </w:rPr>
            </w:pPr>
          </w:p>
        </w:tc>
        <w:tc>
          <w:tcPr>
            <w:tcW w:w="1531" w:type="dxa"/>
          </w:tcPr>
          <w:p w14:paraId="338B9B97"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1) to 3) 10ms</w:t>
            </w:r>
          </w:p>
          <w:p w14:paraId="0DDCB8EA" w14:textId="77777777" w:rsidR="007A4931" w:rsidRPr="00FB5CF2" w:rsidRDefault="007A4931" w:rsidP="00451BFF">
            <w:pPr>
              <w:keepNext/>
              <w:keepLines/>
              <w:spacing w:after="0"/>
              <w:rPr>
                <w:rFonts w:ascii="Arial" w:hAnsi="Arial"/>
                <w:sz w:val="14"/>
                <w:szCs w:val="16"/>
              </w:rPr>
            </w:pPr>
            <w:r w:rsidRPr="00FB5CF2">
              <w:rPr>
                <w:rFonts w:ascii="Arial" w:hAnsi="Arial"/>
                <w:sz w:val="14"/>
                <w:szCs w:val="16"/>
              </w:rPr>
              <w:t>4) 10ms</w:t>
            </w:r>
          </w:p>
          <w:p w14:paraId="67AEA04E"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5): 10ms + additional delay (cell search time and synchronization) defined in TS 38.133</w:t>
            </w:r>
          </w:p>
          <w:p w14:paraId="3148AC20"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6) and 7) 16ms</w:t>
            </w:r>
          </w:p>
          <w:p w14:paraId="4C000EA8"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7) 10 or 6ms</w:t>
            </w:r>
          </w:p>
          <w:p w14:paraId="393F245D"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(See details in 12, TS 38.331)</w:t>
            </w:r>
          </w:p>
          <w:p w14:paraId="4662DBC0"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8) and 9) 5ms</w:t>
            </w:r>
          </w:p>
          <w:p w14:paraId="59953807"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10) 80ms</w:t>
            </w:r>
          </w:p>
        </w:tc>
      </w:tr>
    </w:tbl>
    <w:p w14:paraId="4F0CC47D" w14:textId="027DE7B3" w:rsidR="00451BFF" w:rsidRDefault="00451BFF">
      <w:pPr>
        <w:overflowPunct/>
        <w:autoSpaceDE/>
        <w:autoSpaceDN/>
        <w:adjustRightInd/>
        <w:spacing w:after="0"/>
        <w:textAlignment w:val="auto"/>
        <w:rPr>
          <w:rFonts w:ascii="Arial" w:hAnsi="Arial"/>
          <w:lang w:eastAsia="zh-CN"/>
        </w:rPr>
      </w:pPr>
    </w:p>
    <w:p w14:paraId="611C5A43" w14:textId="77777777" w:rsidR="00451BFF" w:rsidRPr="00CE0424" w:rsidRDefault="00451BFF" w:rsidP="00CE0424">
      <w:pPr>
        <w:pStyle w:val="BodyText"/>
      </w:pPr>
    </w:p>
    <w:sectPr w:rsidR="00451BFF" w:rsidRPr="00CE0424" w:rsidSect="008F5A3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AF057" w14:textId="77777777" w:rsidR="00D8298E" w:rsidRDefault="00D8298E">
      <w:r>
        <w:separator/>
      </w:r>
    </w:p>
  </w:endnote>
  <w:endnote w:type="continuationSeparator" w:id="0">
    <w:p w14:paraId="3F7890E0" w14:textId="77777777" w:rsidR="00D8298E" w:rsidRDefault="00D8298E">
      <w:r>
        <w:continuationSeparator/>
      </w:r>
    </w:p>
  </w:endnote>
  <w:endnote w:type="continuationNotice" w:id="1">
    <w:p w14:paraId="262374AC" w14:textId="77777777" w:rsidR="00D8298E" w:rsidRDefault="00D82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D8298E" w:rsidRDefault="00D829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F48C1" w14:textId="77777777" w:rsidR="00D8298E" w:rsidRDefault="00D8298E">
      <w:r>
        <w:separator/>
      </w:r>
    </w:p>
  </w:footnote>
  <w:footnote w:type="continuationSeparator" w:id="0">
    <w:p w14:paraId="7E315822" w14:textId="77777777" w:rsidR="00D8298E" w:rsidRDefault="00D8298E">
      <w:r>
        <w:continuationSeparator/>
      </w:r>
    </w:p>
  </w:footnote>
  <w:footnote w:type="continuationNotice" w:id="1">
    <w:p w14:paraId="49A7B898" w14:textId="77777777" w:rsidR="00D8298E" w:rsidRDefault="00D82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D8298E" w:rsidRDefault="00D829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098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E4FA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30469A"/>
    <w:multiLevelType w:val="hybridMultilevel"/>
    <w:tmpl w:val="62DE42FC"/>
    <w:lvl w:ilvl="0" w:tplc="CDEC5B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61334"/>
    <w:multiLevelType w:val="hybridMultilevel"/>
    <w:tmpl w:val="BB286CC6"/>
    <w:lvl w:ilvl="0" w:tplc="19CC09C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4423"/>
        </w:tabs>
        <w:ind w:left="4423"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0561BA"/>
    <w:multiLevelType w:val="hybridMultilevel"/>
    <w:tmpl w:val="C952C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5"/>
  </w:num>
  <w:num w:numId="20">
    <w:abstractNumId w:val="24"/>
  </w:num>
  <w:num w:numId="21">
    <w:abstractNumId w:val="12"/>
  </w:num>
  <w:num w:numId="22">
    <w:abstractNumId w:val="23"/>
  </w:num>
  <w:num w:numId="23">
    <w:abstractNumId w:val="11"/>
  </w:num>
  <w:num w:numId="24">
    <w:abstractNumId w:val="15"/>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B1F"/>
    <w:rsid w:val="00002A37"/>
    <w:rsid w:val="00004782"/>
    <w:rsid w:val="0000564C"/>
    <w:rsid w:val="00006446"/>
    <w:rsid w:val="00006656"/>
    <w:rsid w:val="00006896"/>
    <w:rsid w:val="00007CDC"/>
    <w:rsid w:val="00011B28"/>
    <w:rsid w:val="00015025"/>
    <w:rsid w:val="00015D15"/>
    <w:rsid w:val="00016862"/>
    <w:rsid w:val="00021F36"/>
    <w:rsid w:val="00023890"/>
    <w:rsid w:val="00025173"/>
    <w:rsid w:val="0002564D"/>
    <w:rsid w:val="00025ECA"/>
    <w:rsid w:val="00031929"/>
    <w:rsid w:val="000325B8"/>
    <w:rsid w:val="00034C15"/>
    <w:rsid w:val="00034ED6"/>
    <w:rsid w:val="00035F48"/>
    <w:rsid w:val="00036BA1"/>
    <w:rsid w:val="00037646"/>
    <w:rsid w:val="00041999"/>
    <w:rsid w:val="000422E2"/>
    <w:rsid w:val="00042F22"/>
    <w:rsid w:val="00043B18"/>
    <w:rsid w:val="000444EF"/>
    <w:rsid w:val="0004621D"/>
    <w:rsid w:val="00052A07"/>
    <w:rsid w:val="00052E39"/>
    <w:rsid w:val="000534E3"/>
    <w:rsid w:val="0005606A"/>
    <w:rsid w:val="00057117"/>
    <w:rsid w:val="00057B20"/>
    <w:rsid w:val="000616E7"/>
    <w:rsid w:val="000624B0"/>
    <w:rsid w:val="0006487E"/>
    <w:rsid w:val="00064F9B"/>
    <w:rsid w:val="00065E1A"/>
    <w:rsid w:val="000672BB"/>
    <w:rsid w:val="00073DF0"/>
    <w:rsid w:val="00077E5F"/>
    <w:rsid w:val="0008036A"/>
    <w:rsid w:val="00081AE6"/>
    <w:rsid w:val="000848B8"/>
    <w:rsid w:val="000855EB"/>
    <w:rsid w:val="00085B52"/>
    <w:rsid w:val="000866F2"/>
    <w:rsid w:val="00086EA0"/>
    <w:rsid w:val="0009009F"/>
    <w:rsid w:val="00091557"/>
    <w:rsid w:val="00091DBF"/>
    <w:rsid w:val="000924C1"/>
    <w:rsid w:val="000924F0"/>
    <w:rsid w:val="00093474"/>
    <w:rsid w:val="0009354C"/>
    <w:rsid w:val="0009479C"/>
    <w:rsid w:val="0009510F"/>
    <w:rsid w:val="00096F72"/>
    <w:rsid w:val="000972A7"/>
    <w:rsid w:val="000A1B7B"/>
    <w:rsid w:val="000A4EC1"/>
    <w:rsid w:val="000A56F2"/>
    <w:rsid w:val="000A7580"/>
    <w:rsid w:val="000B0D53"/>
    <w:rsid w:val="000B2719"/>
    <w:rsid w:val="000B3A8F"/>
    <w:rsid w:val="000B4AB9"/>
    <w:rsid w:val="000B58C3"/>
    <w:rsid w:val="000B61E9"/>
    <w:rsid w:val="000B6B3F"/>
    <w:rsid w:val="000C165A"/>
    <w:rsid w:val="000C2622"/>
    <w:rsid w:val="000C2E19"/>
    <w:rsid w:val="000C3EDF"/>
    <w:rsid w:val="000D0D07"/>
    <w:rsid w:val="000D4797"/>
    <w:rsid w:val="000E0527"/>
    <w:rsid w:val="000E1E92"/>
    <w:rsid w:val="000E317F"/>
    <w:rsid w:val="000E6B90"/>
    <w:rsid w:val="000F00F1"/>
    <w:rsid w:val="000F06D6"/>
    <w:rsid w:val="000F0EB1"/>
    <w:rsid w:val="000F1106"/>
    <w:rsid w:val="000F1E55"/>
    <w:rsid w:val="000F3BE9"/>
    <w:rsid w:val="000F3F6C"/>
    <w:rsid w:val="000F4571"/>
    <w:rsid w:val="000F6DF3"/>
    <w:rsid w:val="001005FF"/>
    <w:rsid w:val="001045E3"/>
    <w:rsid w:val="001062FB"/>
    <w:rsid w:val="001063E6"/>
    <w:rsid w:val="001107DD"/>
    <w:rsid w:val="00113C9A"/>
    <w:rsid w:val="00113CF4"/>
    <w:rsid w:val="001153EA"/>
    <w:rsid w:val="00115643"/>
    <w:rsid w:val="00116765"/>
    <w:rsid w:val="001219F5"/>
    <w:rsid w:val="00121A20"/>
    <w:rsid w:val="0012377F"/>
    <w:rsid w:val="00124314"/>
    <w:rsid w:val="00125C03"/>
    <w:rsid w:val="00126758"/>
    <w:rsid w:val="00126B4A"/>
    <w:rsid w:val="00131C98"/>
    <w:rsid w:val="00132FD0"/>
    <w:rsid w:val="00132FD4"/>
    <w:rsid w:val="001339AE"/>
    <w:rsid w:val="001344C0"/>
    <w:rsid w:val="00134641"/>
    <w:rsid w:val="001346FA"/>
    <w:rsid w:val="00135252"/>
    <w:rsid w:val="001370B9"/>
    <w:rsid w:val="00137AB5"/>
    <w:rsid w:val="00137F0B"/>
    <w:rsid w:val="00147289"/>
    <w:rsid w:val="001472EE"/>
    <w:rsid w:val="00151E23"/>
    <w:rsid w:val="001526E0"/>
    <w:rsid w:val="00153B4B"/>
    <w:rsid w:val="001551B5"/>
    <w:rsid w:val="00156E1C"/>
    <w:rsid w:val="001659C1"/>
    <w:rsid w:val="00167E9B"/>
    <w:rsid w:val="00170C80"/>
    <w:rsid w:val="00171D7D"/>
    <w:rsid w:val="00172641"/>
    <w:rsid w:val="00173A8E"/>
    <w:rsid w:val="0017502C"/>
    <w:rsid w:val="0018143F"/>
    <w:rsid w:val="00181FF8"/>
    <w:rsid w:val="00183D52"/>
    <w:rsid w:val="00186C46"/>
    <w:rsid w:val="00187FB2"/>
    <w:rsid w:val="00190AC1"/>
    <w:rsid w:val="0019341A"/>
    <w:rsid w:val="001950BB"/>
    <w:rsid w:val="00197DF9"/>
    <w:rsid w:val="001A1987"/>
    <w:rsid w:val="001A2564"/>
    <w:rsid w:val="001A567F"/>
    <w:rsid w:val="001A5D10"/>
    <w:rsid w:val="001A6173"/>
    <w:rsid w:val="001A68DA"/>
    <w:rsid w:val="001A6CBA"/>
    <w:rsid w:val="001A76F3"/>
    <w:rsid w:val="001B0D97"/>
    <w:rsid w:val="001B5A5D"/>
    <w:rsid w:val="001B6685"/>
    <w:rsid w:val="001C0BA7"/>
    <w:rsid w:val="001C1CE5"/>
    <w:rsid w:val="001C3D2A"/>
    <w:rsid w:val="001C56BC"/>
    <w:rsid w:val="001C5B77"/>
    <w:rsid w:val="001D4168"/>
    <w:rsid w:val="001D4C2C"/>
    <w:rsid w:val="001D51BA"/>
    <w:rsid w:val="001D53E7"/>
    <w:rsid w:val="001D6342"/>
    <w:rsid w:val="001D6D53"/>
    <w:rsid w:val="001E19C4"/>
    <w:rsid w:val="001E37B3"/>
    <w:rsid w:val="001E58E2"/>
    <w:rsid w:val="001E690A"/>
    <w:rsid w:val="001E7AED"/>
    <w:rsid w:val="001F00F8"/>
    <w:rsid w:val="001F3916"/>
    <w:rsid w:val="001F47ED"/>
    <w:rsid w:val="001F54C5"/>
    <w:rsid w:val="001F5BB9"/>
    <w:rsid w:val="001F662C"/>
    <w:rsid w:val="001F7074"/>
    <w:rsid w:val="00200490"/>
    <w:rsid w:val="00201F3A"/>
    <w:rsid w:val="00203F96"/>
    <w:rsid w:val="002069B2"/>
    <w:rsid w:val="00207C8E"/>
    <w:rsid w:val="00207FA3"/>
    <w:rsid w:val="002102DC"/>
    <w:rsid w:val="00214DA8"/>
    <w:rsid w:val="00215423"/>
    <w:rsid w:val="002158FA"/>
    <w:rsid w:val="002170C1"/>
    <w:rsid w:val="0021785C"/>
    <w:rsid w:val="0021797A"/>
    <w:rsid w:val="00220600"/>
    <w:rsid w:val="00221C7C"/>
    <w:rsid w:val="002224DB"/>
    <w:rsid w:val="00223FCB"/>
    <w:rsid w:val="002252C3"/>
    <w:rsid w:val="0022557F"/>
    <w:rsid w:val="00225C54"/>
    <w:rsid w:val="00230765"/>
    <w:rsid w:val="00230D18"/>
    <w:rsid w:val="002319E4"/>
    <w:rsid w:val="00233624"/>
    <w:rsid w:val="00235632"/>
    <w:rsid w:val="00235872"/>
    <w:rsid w:val="00240D33"/>
    <w:rsid w:val="00241559"/>
    <w:rsid w:val="002423C1"/>
    <w:rsid w:val="002435B3"/>
    <w:rsid w:val="002458EB"/>
    <w:rsid w:val="00245F65"/>
    <w:rsid w:val="002500C8"/>
    <w:rsid w:val="00257543"/>
    <w:rsid w:val="002617E7"/>
    <w:rsid w:val="00262144"/>
    <w:rsid w:val="00263C17"/>
    <w:rsid w:val="00264228"/>
    <w:rsid w:val="00264334"/>
    <w:rsid w:val="00264449"/>
    <w:rsid w:val="0026473E"/>
    <w:rsid w:val="00264844"/>
    <w:rsid w:val="00266214"/>
    <w:rsid w:val="002669E2"/>
    <w:rsid w:val="00267AF3"/>
    <w:rsid w:val="00267C83"/>
    <w:rsid w:val="0027144F"/>
    <w:rsid w:val="00271813"/>
    <w:rsid w:val="00271911"/>
    <w:rsid w:val="00271F3A"/>
    <w:rsid w:val="00273278"/>
    <w:rsid w:val="002737F4"/>
    <w:rsid w:val="002764B0"/>
    <w:rsid w:val="002769B4"/>
    <w:rsid w:val="00277700"/>
    <w:rsid w:val="002805F5"/>
    <w:rsid w:val="00280751"/>
    <w:rsid w:val="00280EBE"/>
    <w:rsid w:val="00281522"/>
    <w:rsid w:val="0028280A"/>
    <w:rsid w:val="002840D1"/>
    <w:rsid w:val="0028568B"/>
    <w:rsid w:val="00286408"/>
    <w:rsid w:val="00286ACD"/>
    <w:rsid w:val="00287838"/>
    <w:rsid w:val="002907B5"/>
    <w:rsid w:val="00292EB7"/>
    <w:rsid w:val="0029438D"/>
    <w:rsid w:val="00296227"/>
    <w:rsid w:val="00296F44"/>
    <w:rsid w:val="0029777D"/>
    <w:rsid w:val="002A055E"/>
    <w:rsid w:val="002A1D4E"/>
    <w:rsid w:val="002A2869"/>
    <w:rsid w:val="002B07A0"/>
    <w:rsid w:val="002B1BBC"/>
    <w:rsid w:val="002B2229"/>
    <w:rsid w:val="002B24D6"/>
    <w:rsid w:val="002B274A"/>
    <w:rsid w:val="002B2CD3"/>
    <w:rsid w:val="002B34E3"/>
    <w:rsid w:val="002B4E49"/>
    <w:rsid w:val="002B5573"/>
    <w:rsid w:val="002C06AD"/>
    <w:rsid w:val="002C0DA6"/>
    <w:rsid w:val="002C35AC"/>
    <w:rsid w:val="002C41E6"/>
    <w:rsid w:val="002C5CE4"/>
    <w:rsid w:val="002C78F1"/>
    <w:rsid w:val="002C7CFD"/>
    <w:rsid w:val="002D071A"/>
    <w:rsid w:val="002D1A75"/>
    <w:rsid w:val="002D2AAD"/>
    <w:rsid w:val="002D34B2"/>
    <w:rsid w:val="002D48B0"/>
    <w:rsid w:val="002D5B37"/>
    <w:rsid w:val="002D7637"/>
    <w:rsid w:val="002D7FAF"/>
    <w:rsid w:val="002E03F3"/>
    <w:rsid w:val="002E17F2"/>
    <w:rsid w:val="002E2B6D"/>
    <w:rsid w:val="002E7698"/>
    <w:rsid w:val="002E7CAE"/>
    <w:rsid w:val="002F0C3F"/>
    <w:rsid w:val="002F2771"/>
    <w:rsid w:val="002F37A9"/>
    <w:rsid w:val="002F7899"/>
    <w:rsid w:val="00301CE6"/>
    <w:rsid w:val="0030256B"/>
    <w:rsid w:val="0030501F"/>
    <w:rsid w:val="00307BA1"/>
    <w:rsid w:val="00310481"/>
    <w:rsid w:val="00311702"/>
    <w:rsid w:val="00311E82"/>
    <w:rsid w:val="00313FD6"/>
    <w:rsid w:val="003143BD"/>
    <w:rsid w:val="00315363"/>
    <w:rsid w:val="003203ED"/>
    <w:rsid w:val="00321377"/>
    <w:rsid w:val="00322C9F"/>
    <w:rsid w:val="00324D23"/>
    <w:rsid w:val="00327AB6"/>
    <w:rsid w:val="00331751"/>
    <w:rsid w:val="003330A6"/>
    <w:rsid w:val="00333E9B"/>
    <w:rsid w:val="00334579"/>
    <w:rsid w:val="003347ED"/>
    <w:rsid w:val="00335858"/>
    <w:rsid w:val="00336BDA"/>
    <w:rsid w:val="003420C8"/>
    <w:rsid w:val="003425D2"/>
    <w:rsid w:val="00342BD7"/>
    <w:rsid w:val="003442EA"/>
    <w:rsid w:val="00346DB5"/>
    <w:rsid w:val="003477B1"/>
    <w:rsid w:val="00352EFC"/>
    <w:rsid w:val="00354538"/>
    <w:rsid w:val="00357380"/>
    <w:rsid w:val="003602D9"/>
    <w:rsid w:val="003604CE"/>
    <w:rsid w:val="00360E65"/>
    <w:rsid w:val="003628E3"/>
    <w:rsid w:val="00364A02"/>
    <w:rsid w:val="00365F08"/>
    <w:rsid w:val="00370E47"/>
    <w:rsid w:val="00372D35"/>
    <w:rsid w:val="003739A1"/>
    <w:rsid w:val="003742AC"/>
    <w:rsid w:val="00377721"/>
    <w:rsid w:val="00377CE1"/>
    <w:rsid w:val="00380C83"/>
    <w:rsid w:val="00385BF0"/>
    <w:rsid w:val="00385C06"/>
    <w:rsid w:val="00387F05"/>
    <w:rsid w:val="003939FF"/>
    <w:rsid w:val="003956D6"/>
    <w:rsid w:val="003A0224"/>
    <w:rsid w:val="003A2223"/>
    <w:rsid w:val="003A2A0F"/>
    <w:rsid w:val="003A45A1"/>
    <w:rsid w:val="003A542D"/>
    <w:rsid w:val="003A5B0A"/>
    <w:rsid w:val="003A6BAC"/>
    <w:rsid w:val="003A70A4"/>
    <w:rsid w:val="003A7EF3"/>
    <w:rsid w:val="003B159C"/>
    <w:rsid w:val="003B2B57"/>
    <w:rsid w:val="003B369F"/>
    <w:rsid w:val="003B36A3"/>
    <w:rsid w:val="003B5519"/>
    <w:rsid w:val="003B64BB"/>
    <w:rsid w:val="003B68E6"/>
    <w:rsid w:val="003B7FE5"/>
    <w:rsid w:val="003C11C8"/>
    <w:rsid w:val="003C15F1"/>
    <w:rsid w:val="003C239F"/>
    <w:rsid w:val="003C2702"/>
    <w:rsid w:val="003C7806"/>
    <w:rsid w:val="003C78AE"/>
    <w:rsid w:val="003D109F"/>
    <w:rsid w:val="003D2478"/>
    <w:rsid w:val="003D3BFD"/>
    <w:rsid w:val="003D3C45"/>
    <w:rsid w:val="003D5B1F"/>
    <w:rsid w:val="003E0C34"/>
    <w:rsid w:val="003E15FA"/>
    <w:rsid w:val="003E55E4"/>
    <w:rsid w:val="003E58BC"/>
    <w:rsid w:val="003E72F7"/>
    <w:rsid w:val="003E74E3"/>
    <w:rsid w:val="003E7E85"/>
    <w:rsid w:val="003F05C7"/>
    <w:rsid w:val="003F28D9"/>
    <w:rsid w:val="003F2CD4"/>
    <w:rsid w:val="003F3A67"/>
    <w:rsid w:val="003F6BBE"/>
    <w:rsid w:val="004000E8"/>
    <w:rsid w:val="00402E2B"/>
    <w:rsid w:val="00404623"/>
    <w:rsid w:val="0040512B"/>
    <w:rsid w:val="00405CA5"/>
    <w:rsid w:val="0040774E"/>
    <w:rsid w:val="00407CD3"/>
    <w:rsid w:val="00410134"/>
    <w:rsid w:val="00410B72"/>
    <w:rsid w:val="00410F18"/>
    <w:rsid w:val="0041263E"/>
    <w:rsid w:val="004129EE"/>
    <w:rsid w:val="00413AAC"/>
    <w:rsid w:val="00413E92"/>
    <w:rsid w:val="00421105"/>
    <w:rsid w:val="00422AA4"/>
    <w:rsid w:val="004242F4"/>
    <w:rsid w:val="00426128"/>
    <w:rsid w:val="00427248"/>
    <w:rsid w:val="00437447"/>
    <w:rsid w:val="00440B6F"/>
    <w:rsid w:val="00441A92"/>
    <w:rsid w:val="00441B05"/>
    <w:rsid w:val="004431DC"/>
    <w:rsid w:val="00444F56"/>
    <w:rsid w:val="004458AA"/>
    <w:rsid w:val="00446488"/>
    <w:rsid w:val="004507C6"/>
    <w:rsid w:val="004517AA"/>
    <w:rsid w:val="00451BFF"/>
    <w:rsid w:val="00452CAC"/>
    <w:rsid w:val="00455440"/>
    <w:rsid w:val="00456C7E"/>
    <w:rsid w:val="00457565"/>
    <w:rsid w:val="0045759A"/>
    <w:rsid w:val="00457B71"/>
    <w:rsid w:val="00460D96"/>
    <w:rsid w:val="004651F2"/>
    <w:rsid w:val="004669E2"/>
    <w:rsid w:val="00470C31"/>
    <w:rsid w:val="00470E61"/>
    <w:rsid w:val="00471205"/>
    <w:rsid w:val="00471DE0"/>
    <w:rsid w:val="004734D0"/>
    <w:rsid w:val="0047556B"/>
    <w:rsid w:val="00475BE9"/>
    <w:rsid w:val="00477768"/>
    <w:rsid w:val="00477E73"/>
    <w:rsid w:val="00484B5B"/>
    <w:rsid w:val="00492BC5"/>
    <w:rsid w:val="00493FF3"/>
    <w:rsid w:val="004964F1"/>
    <w:rsid w:val="0049698C"/>
    <w:rsid w:val="00497917"/>
    <w:rsid w:val="004A16BC"/>
    <w:rsid w:val="004A263C"/>
    <w:rsid w:val="004A2B94"/>
    <w:rsid w:val="004A30CA"/>
    <w:rsid w:val="004A6EC9"/>
    <w:rsid w:val="004B1E5E"/>
    <w:rsid w:val="004B1F53"/>
    <w:rsid w:val="004B6F6A"/>
    <w:rsid w:val="004B7C0C"/>
    <w:rsid w:val="004C0A4D"/>
    <w:rsid w:val="004C34CF"/>
    <w:rsid w:val="004C3898"/>
    <w:rsid w:val="004C46C5"/>
    <w:rsid w:val="004C7348"/>
    <w:rsid w:val="004D36B1"/>
    <w:rsid w:val="004D6BE7"/>
    <w:rsid w:val="004D7EBD"/>
    <w:rsid w:val="004E2680"/>
    <w:rsid w:val="004E28F9"/>
    <w:rsid w:val="004E3DAB"/>
    <w:rsid w:val="004E3F84"/>
    <w:rsid w:val="004E462E"/>
    <w:rsid w:val="004E56DC"/>
    <w:rsid w:val="004E5B9B"/>
    <w:rsid w:val="004E76F4"/>
    <w:rsid w:val="004F0B4E"/>
    <w:rsid w:val="004F0B6C"/>
    <w:rsid w:val="004F2078"/>
    <w:rsid w:val="004F473E"/>
    <w:rsid w:val="004F4DA3"/>
    <w:rsid w:val="00506557"/>
    <w:rsid w:val="0050677A"/>
    <w:rsid w:val="005108D8"/>
    <w:rsid w:val="005116F9"/>
    <w:rsid w:val="005149F7"/>
    <w:rsid w:val="005153A7"/>
    <w:rsid w:val="00520B1A"/>
    <w:rsid w:val="005219CF"/>
    <w:rsid w:val="00523A6E"/>
    <w:rsid w:val="00523CD1"/>
    <w:rsid w:val="00534B59"/>
    <w:rsid w:val="00536759"/>
    <w:rsid w:val="00537C62"/>
    <w:rsid w:val="005440E9"/>
    <w:rsid w:val="00546970"/>
    <w:rsid w:val="00554E19"/>
    <w:rsid w:val="0056121F"/>
    <w:rsid w:val="005638D5"/>
    <w:rsid w:val="00564BCB"/>
    <w:rsid w:val="00567A4F"/>
    <w:rsid w:val="00572505"/>
    <w:rsid w:val="005755FB"/>
    <w:rsid w:val="005802F3"/>
    <w:rsid w:val="0058055B"/>
    <w:rsid w:val="00582809"/>
    <w:rsid w:val="00584B0A"/>
    <w:rsid w:val="00586414"/>
    <w:rsid w:val="00586CCD"/>
    <w:rsid w:val="0058798C"/>
    <w:rsid w:val="005900FA"/>
    <w:rsid w:val="00591B8E"/>
    <w:rsid w:val="005935A4"/>
    <w:rsid w:val="00594167"/>
    <w:rsid w:val="005948C2"/>
    <w:rsid w:val="00595DCA"/>
    <w:rsid w:val="0059779B"/>
    <w:rsid w:val="00597BA7"/>
    <w:rsid w:val="005A126E"/>
    <w:rsid w:val="005A209A"/>
    <w:rsid w:val="005A662D"/>
    <w:rsid w:val="005A6D38"/>
    <w:rsid w:val="005B1409"/>
    <w:rsid w:val="005B35D7"/>
    <w:rsid w:val="005B392A"/>
    <w:rsid w:val="005B3AA3"/>
    <w:rsid w:val="005B6F83"/>
    <w:rsid w:val="005B7CD6"/>
    <w:rsid w:val="005C6AB3"/>
    <w:rsid w:val="005C73F6"/>
    <w:rsid w:val="005C74FB"/>
    <w:rsid w:val="005D108B"/>
    <w:rsid w:val="005D1602"/>
    <w:rsid w:val="005D5CD0"/>
    <w:rsid w:val="005E2E04"/>
    <w:rsid w:val="005E385F"/>
    <w:rsid w:val="005E4441"/>
    <w:rsid w:val="005E4979"/>
    <w:rsid w:val="005E5B81"/>
    <w:rsid w:val="005F2CB1"/>
    <w:rsid w:val="005F3025"/>
    <w:rsid w:val="005F3BFE"/>
    <w:rsid w:val="005F52C3"/>
    <w:rsid w:val="005F618C"/>
    <w:rsid w:val="005F70BD"/>
    <w:rsid w:val="0060283C"/>
    <w:rsid w:val="00604F14"/>
    <w:rsid w:val="00605856"/>
    <w:rsid w:val="00607AAA"/>
    <w:rsid w:val="00610AB2"/>
    <w:rsid w:val="00611B83"/>
    <w:rsid w:val="00613257"/>
    <w:rsid w:val="0061709D"/>
    <w:rsid w:val="00620A71"/>
    <w:rsid w:val="00620D80"/>
    <w:rsid w:val="006234A6"/>
    <w:rsid w:val="00630001"/>
    <w:rsid w:val="006311B3"/>
    <w:rsid w:val="0063284C"/>
    <w:rsid w:val="00633355"/>
    <w:rsid w:val="00634A41"/>
    <w:rsid w:val="00636398"/>
    <w:rsid w:val="006368D3"/>
    <w:rsid w:val="006377EC"/>
    <w:rsid w:val="0064151F"/>
    <w:rsid w:val="00641533"/>
    <w:rsid w:val="0064208D"/>
    <w:rsid w:val="00643475"/>
    <w:rsid w:val="0064396A"/>
    <w:rsid w:val="00643B59"/>
    <w:rsid w:val="0064624E"/>
    <w:rsid w:val="00650AB9"/>
    <w:rsid w:val="00655733"/>
    <w:rsid w:val="00655ACD"/>
    <w:rsid w:val="00656A92"/>
    <w:rsid w:val="00656CF2"/>
    <w:rsid w:val="00656DDE"/>
    <w:rsid w:val="0066011D"/>
    <w:rsid w:val="006607C0"/>
    <w:rsid w:val="00661014"/>
    <w:rsid w:val="006613A6"/>
    <w:rsid w:val="00661D01"/>
    <w:rsid w:val="006627A2"/>
    <w:rsid w:val="006634E6"/>
    <w:rsid w:val="006655EE"/>
    <w:rsid w:val="006659E3"/>
    <w:rsid w:val="00666816"/>
    <w:rsid w:val="00667EE7"/>
    <w:rsid w:val="00670922"/>
    <w:rsid w:val="00670BE1"/>
    <w:rsid w:val="00670DD3"/>
    <w:rsid w:val="0067218F"/>
    <w:rsid w:val="006741F2"/>
    <w:rsid w:val="00674CC3"/>
    <w:rsid w:val="00675C72"/>
    <w:rsid w:val="006771F9"/>
    <w:rsid w:val="006776D7"/>
    <w:rsid w:val="00681003"/>
    <w:rsid w:val="006815BF"/>
    <w:rsid w:val="006817C9"/>
    <w:rsid w:val="00683ECE"/>
    <w:rsid w:val="00684D66"/>
    <w:rsid w:val="00686746"/>
    <w:rsid w:val="00690742"/>
    <w:rsid w:val="0069174F"/>
    <w:rsid w:val="00695FC2"/>
    <w:rsid w:val="00696949"/>
    <w:rsid w:val="00697052"/>
    <w:rsid w:val="006A10D5"/>
    <w:rsid w:val="006A2221"/>
    <w:rsid w:val="006A2E7C"/>
    <w:rsid w:val="006A46FB"/>
    <w:rsid w:val="006A588B"/>
    <w:rsid w:val="006A5C5C"/>
    <w:rsid w:val="006A5E28"/>
    <w:rsid w:val="006A697B"/>
    <w:rsid w:val="006A7AF5"/>
    <w:rsid w:val="006A7AFF"/>
    <w:rsid w:val="006B1816"/>
    <w:rsid w:val="006B2099"/>
    <w:rsid w:val="006B50CF"/>
    <w:rsid w:val="006C0176"/>
    <w:rsid w:val="006C03B8"/>
    <w:rsid w:val="006C1289"/>
    <w:rsid w:val="006C3045"/>
    <w:rsid w:val="006C5EC9"/>
    <w:rsid w:val="006C6059"/>
    <w:rsid w:val="006C7522"/>
    <w:rsid w:val="006D0F06"/>
    <w:rsid w:val="006D49FD"/>
    <w:rsid w:val="006D6F08"/>
    <w:rsid w:val="006E062C"/>
    <w:rsid w:val="006E0F07"/>
    <w:rsid w:val="006E1215"/>
    <w:rsid w:val="006E1C82"/>
    <w:rsid w:val="006E28B7"/>
    <w:rsid w:val="006E2A9B"/>
    <w:rsid w:val="006E3310"/>
    <w:rsid w:val="006E4E39"/>
    <w:rsid w:val="006E565E"/>
    <w:rsid w:val="006E673D"/>
    <w:rsid w:val="006E7D3B"/>
    <w:rsid w:val="006F1B70"/>
    <w:rsid w:val="006F341D"/>
    <w:rsid w:val="006F3CDE"/>
    <w:rsid w:val="006F58D4"/>
    <w:rsid w:val="006F5F49"/>
    <w:rsid w:val="006F6582"/>
    <w:rsid w:val="00702CDF"/>
    <w:rsid w:val="0070346E"/>
    <w:rsid w:val="00704053"/>
    <w:rsid w:val="00704EDB"/>
    <w:rsid w:val="00706101"/>
    <w:rsid w:val="00707072"/>
    <w:rsid w:val="007078CF"/>
    <w:rsid w:val="00707D61"/>
    <w:rsid w:val="007115D8"/>
    <w:rsid w:val="00712287"/>
    <w:rsid w:val="00712772"/>
    <w:rsid w:val="007148D3"/>
    <w:rsid w:val="00715B9A"/>
    <w:rsid w:val="007215A8"/>
    <w:rsid w:val="00724D1E"/>
    <w:rsid w:val="007257D0"/>
    <w:rsid w:val="00726EA6"/>
    <w:rsid w:val="00727208"/>
    <w:rsid w:val="00727680"/>
    <w:rsid w:val="007326B9"/>
    <w:rsid w:val="0073429A"/>
    <w:rsid w:val="007348B1"/>
    <w:rsid w:val="007362A6"/>
    <w:rsid w:val="00736D7D"/>
    <w:rsid w:val="00740E58"/>
    <w:rsid w:val="00741955"/>
    <w:rsid w:val="00743C7C"/>
    <w:rsid w:val="007445A0"/>
    <w:rsid w:val="0074524B"/>
    <w:rsid w:val="00746167"/>
    <w:rsid w:val="00746DB4"/>
    <w:rsid w:val="007474BE"/>
    <w:rsid w:val="0074755C"/>
    <w:rsid w:val="00747D8B"/>
    <w:rsid w:val="00747F0D"/>
    <w:rsid w:val="00751228"/>
    <w:rsid w:val="00754032"/>
    <w:rsid w:val="007571E1"/>
    <w:rsid w:val="00757A16"/>
    <w:rsid w:val="007604B2"/>
    <w:rsid w:val="007607D7"/>
    <w:rsid w:val="00762147"/>
    <w:rsid w:val="007623EB"/>
    <w:rsid w:val="00762658"/>
    <w:rsid w:val="00765281"/>
    <w:rsid w:val="007665E7"/>
    <w:rsid w:val="00766BAD"/>
    <w:rsid w:val="007729A2"/>
    <w:rsid w:val="00772A4B"/>
    <w:rsid w:val="007755F2"/>
    <w:rsid w:val="007763A7"/>
    <w:rsid w:val="00776971"/>
    <w:rsid w:val="007772C2"/>
    <w:rsid w:val="00777423"/>
    <w:rsid w:val="00777A8A"/>
    <w:rsid w:val="00780A80"/>
    <w:rsid w:val="0078177E"/>
    <w:rsid w:val="00782CEC"/>
    <w:rsid w:val="0078304C"/>
    <w:rsid w:val="00783250"/>
    <w:rsid w:val="00783673"/>
    <w:rsid w:val="00785490"/>
    <w:rsid w:val="00786EBF"/>
    <w:rsid w:val="00791F76"/>
    <w:rsid w:val="007925EA"/>
    <w:rsid w:val="00793CD8"/>
    <w:rsid w:val="007941C6"/>
    <w:rsid w:val="00795C92"/>
    <w:rsid w:val="00796231"/>
    <w:rsid w:val="007A1CB3"/>
    <w:rsid w:val="007A306F"/>
    <w:rsid w:val="007A43A6"/>
    <w:rsid w:val="007A44E8"/>
    <w:rsid w:val="007A4931"/>
    <w:rsid w:val="007A505D"/>
    <w:rsid w:val="007A539F"/>
    <w:rsid w:val="007A58A6"/>
    <w:rsid w:val="007A5E9E"/>
    <w:rsid w:val="007B33DB"/>
    <w:rsid w:val="007B3D2D"/>
    <w:rsid w:val="007B50AE"/>
    <w:rsid w:val="007B51DF"/>
    <w:rsid w:val="007B61BB"/>
    <w:rsid w:val="007C05DD"/>
    <w:rsid w:val="007C3D18"/>
    <w:rsid w:val="007C60BF"/>
    <w:rsid w:val="007C6A07"/>
    <w:rsid w:val="007C75A1"/>
    <w:rsid w:val="007C77A5"/>
    <w:rsid w:val="007D04E5"/>
    <w:rsid w:val="007D1D89"/>
    <w:rsid w:val="007D5901"/>
    <w:rsid w:val="007D7526"/>
    <w:rsid w:val="007E394B"/>
    <w:rsid w:val="007E4610"/>
    <w:rsid w:val="007E4715"/>
    <w:rsid w:val="007E505B"/>
    <w:rsid w:val="007E7091"/>
    <w:rsid w:val="00801C24"/>
    <w:rsid w:val="008021C7"/>
    <w:rsid w:val="00803FAE"/>
    <w:rsid w:val="0080605F"/>
    <w:rsid w:val="00807786"/>
    <w:rsid w:val="00811FCB"/>
    <w:rsid w:val="008148A0"/>
    <w:rsid w:val="00814ABD"/>
    <w:rsid w:val="00815084"/>
    <w:rsid w:val="008158D6"/>
    <w:rsid w:val="00817196"/>
    <w:rsid w:val="008235DB"/>
    <w:rsid w:val="0082397D"/>
    <w:rsid w:val="00824AB4"/>
    <w:rsid w:val="00824BCB"/>
    <w:rsid w:val="00825C42"/>
    <w:rsid w:val="00825D25"/>
    <w:rsid w:val="008279DE"/>
    <w:rsid w:val="00827D6F"/>
    <w:rsid w:val="008317AA"/>
    <w:rsid w:val="00833F80"/>
    <w:rsid w:val="00835F08"/>
    <w:rsid w:val="008376AC"/>
    <w:rsid w:val="008413D7"/>
    <w:rsid w:val="00841402"/>
    <w:rsid w:val="00841767"/>
    <w:rsid w:val="008444E8"/>
    <w:rsid w:val="00844E80"/>
    <w:rsid w:val="00846FE7"/>
    <w:rsid w:val="008521F9"/>
    <w:rsid w:val="00856911"/>
    <w:rsid w:val="008572A2"/>
    <w:rsid w:val="00857657"/>
    <w:rsid w:val="00862A05"/>
    <w:rsid w:val="00862DCA"/>
    <w:rsid w:val="00866214"/>
    <w:rsid w:val="008677FD"/>
    <w:rsid w:val="0087035A"/>
    <w:rsid w:val="008706D4"/>
    <w:rsid w:val="00870F8A"/>
    <w:rsid w:val="008719A4"/>
    <w:rsid w:val="00871D23"/>
    <w:rsid w:val="00872A9C"/>
    <w:rsid w:val="00873A01"/>
    <w:rsid w:val="00874312"/>
    <w:rsid w:val="0087437C"/>
    <w:rsid w:val="00875CD7"/>
    <w:rsid w:val="00876B4D"/>
    <w:rsid w:val="00877F18"/>
    <w:rsid w:val="00887541"/>
    <w:rsid w:val="00893961"/>
    <w:rsid w:val="008941E3"/>
    <w:rsid w:val="00894A88"/>
    <w:rsid w:val="00895386"/>
    <w:rsid w:val="00897E5D"/>
    <w:rsid w:val="008A1465"/>
    <w:rsid w:val="008A21FF"/>
    <w:rsid w:val="008A2AC3"/>
    <w:rsid w:val="008A2CE2"/>
    <w:rsid w:val="008A30AC"/>
    <w:rsid w:val="008A409D"/>
    <w:rsid w:val="008A44B8"/>
    <w:rsid w:val="008A50D4"/>
    <w:rsid w:val="008A51A8"/>
    <w:rsid w:val="008A54C7"/>
    <w:rsid w:val="008A5F7E"/>
    <w:rsid w:val="008A77D8"/>
    <w:rsid w:val="008B004D"/>
    <w:rsid w:val="008B0483"/>
    <w:rsid w:val="008B120C"/>
    <w:rsid w:val="008B29AD"/>
    <w:rsid w:val="008B45BB"/>
    <w:rsid w:val="008B51A0"/>
    <w:rsid w:val="008B592A"/>
    <w:rsid w:val="008B7B5C"/>
    <w:rsid w:val="008B7CEE"/>
    <w:rsid w:val="008C0C99"/>
    <w:rsid w:val="008C2017"/>
    <w:rsid w:val="008C2F19"/>
    <w:rsid w:val="008C4958"/>
    <w:rsid w:val="008C4BAA"/>
    <w:rsid w:val="008C6AE8"/>
    <w:rsid w:val="008C7573"/>
    <w:rsid w:val="008D00A5"/>
    <w:rsid w:val="008D34F1"/>
    <w:rsid w:val="008D39D8"/>
    <w:rsid w:val="008D41BB"/>
    <w:rsid w:val="008D4A0E"/>
    <w:rsid w:val="008D6D1A"/>
    <w:rsid w:val="008D7251"/>
    <w:rsid w:val="008E065E"/>
    <w:rsid w:val="008E0927"/>
    <w:rsid w:val="008E1909"/>
    <w:rsid w:val="008E2EC2"/>
    <w:rsid w:val="008F0CD4"/>
    <w:rsid w:val="008F1EAB"/>
    <w:rsid w:val="008F227A"/>
    <w:rsid w:val="008F33DC"/>
    <w:rsid w:val="008F477F"/>
    <w:rsid w:val="008F5844"/>
    <w:rsid w:val="008F5A3C"/>
    <w:rsid w:val="00902350"/>
    <w:rsid w:val="0090336B"/>
    <w:rsid w:val="009053AA"/>
    <w:rsid w:val="00906939"/>
    <w:rsid w:val="009109AF"/>
    <w:rsid w:val="00910A27"/>
    <w:rsid w:val="00910B7D"/>
    <w:rsid w:val="00911A0B"/>
    <w:rsid w:val="00911DFB"/>
    <w:rsid w:val="009139D9"/>
    <w:rsid w:val="00914AD8"/>
    <w:rsid w:val="00916079"/>
    <w:rsid w:val="00917CE9"/>
    <w:rsid w:val="009200CD"/>
    <w:rsid w:val="00920BF2"/>
    <w:rsid w:val="00922010"/>
    <w:rsid w:val="009250DF"/>
    <w:rsid w:val="00931BD9"/>
    <w:rsid w:val="0093457D"/>
    <w:rsid w:val="00936875"/>
    <w:rsid w:val="009368F3"/>
    <w:rsid w:val="00941636"/>
    <w:rsid w:val="009416C5"/>
    <w:rsid w:val="00943742"/>
    <w:rsid w:val="00945C05"/>
    <w:rsid w:val="00946945"/>
    <w:rsid w:val="00947713"/>
    <w:rsid w:val="00947F34"/>
    <w:rsid w:val="00950DE7"/>
    <w:rsid w:val="009515CC"/>
    <w:rsid w:val="00952467"/>
    <w:rsid w:val="0095331D"/>
    <w:rsid w:val="00953920"/>
    <w:rsid w:val="00953D47"/>
    <w:rsid w:val="00955C21"/>
    <w:rsid w:val="0095681E"/>
    <w:rsid w:val="009572D4"/>
    <w:rsid w:val="00961921"/>
    <w:rsid w:val="00961E6F"/>
    <w:rsid w:val="0096430A"/>
    <w:rsid w:val="009647CC"/>
    <w:rsid w:val="0096554B"/>
    <w:rsid w:val="0096584A"/>
    <w:rsid w:val="00966E8E"/>
    <w:rsid w:val="00967E97"/>
    <w:rsid w:val="00971F08"/>
    <w:rsid w:val="0097221B"/>
    <w:rsid w:val="0097603D"/>
    <w:rsid w:val="00976949"/>
    <w:rsid w:val="00980477"/>
    <w:rsid w:val="00985253"/>
    <w:rsid w:val="009853B3"/>
    <w:rsid w:val="00990630"/>
    <w:rsid w:val="00991761"/>
    <w:rsid w:val="00991981"/>
    <w:rsid w:val="009932A4"/>
    <w:rsid w:val="0099343F"/>
    <w:rsid w:val="009949C5"/>
    <w:rsid w:val="00994DCA"/>
    <w:rsid w:val="00995838"/>
    <w:rsid w:val="009960EC"/>
    <w:rsid w:val="009970DD"/>
    <w:rsid w:val="009A07C0"/>
    <w:rsid w:val="009A0FBA"/>
    <w:rsid w:val="009A1601"/>
    <w:rsid w:val="009A182A"/>
    <w:rsid w:val="009A3BB6"/>
    <w:rsid w:val="009A462D"/>
    <w:rsid w:val="009A4FF0"/>
    <w:rsid w:val="009A5162"/>
    <w:rsid w:val="009A5CBA"/>
    <w:rsid w:val="009A60E3"/>
    <w:rsid w:val="009A6156"/>
    <w:rsid w:val="009B05BC"/>
    <w:rsid w:val="009B1F30"/>
    <w:rsid w:val="009B3AC2"/>
    <w:rsid w:val="009B4722"/>
    <w:rsid w:val="009B4DF4"/>
    <w:rsid w:val="009B564E"/>
    <w:rsid w:val="009B6405"/>
    <w:rsid w:val="009B7E87"/>
    <w:rsid w:val="009C0169"/>
    <w:rsid w:val="009C403E"/>
    <w:rsid w:val="009C6772"/>
    <w:rsid w:val="009C7509"/>
    <w:rsid w:val="009D1730"/>
    <w:rsid w:val="009D2D3C"/>
    <w:rsid w:val="009D3C9B"/>
    <w:rsid w:val="009D4FF0"/>
    <w:rsid w:val="009D6A9C"/>
    <w:rsid w:val="009D703C"/>
    <w:rsid w:val="009D718F"/>
    <w:rsid w:val="009E0060"/>
    <w:rsid w:val="009E068F"/>
    <w:rsid w:val="009E14E0"/>
    <w:rsid w:val="009E240D"/>
    <w:rsid w:val="009E35DB"/>
    <w:rsid w:val="009E47A3"/>
    <w:rsid w:val="009F0126"/>
    <w:rsid w:val="009F08F3"/>
    <w:rsid w:val="009F1332"/>
    <w:rsid w:val="009F1DF0"/>
    <w:rsid w:val="009F3360"/>
    <w:rsid w:val="009F344F"/>
    <w:rsid w:val="009F49CF"/>
    <w:rsid w:val="009F590D"/>
    <w:rsid w:val="009F7145"/>
    <w:rsid w:val="00A031D8"/>
    <w:rsid w:val="00A048A8"/>
    <w:rsid w:val="00A04F49"/>
    <w:rsid w:val="00A06A9D"/>
    <w:rsid w:val="00A11060"/>
    <w:rsid w:val="00A11361"/>
    <w:rsid w:val="00A11E74"/>
    <w:rsid w:val="00A12E49"/>
    <w:rsid w:val="00A12F79"/>
    <w:rsid w:val="00A13E54"/>
    <w:rsid w:val="00A157A7"/>
    <w:rsid w:val="00A16499"/>
    <w:rsid w:val="00A17F63"/>
    <w:rsid w:val="00A2193B"/>
    <w:rsid w:val="00A2351A"/>
    <w:rsid w:val="00A264A9"/>
    <w:rsid w:val="00A264F7"/>
    <w:rsid w:val="00A26DCF"/>
    <w:rsid w:val="00A27785"/>
    <w:rsid w:val="00A30187"/>
    <w:rsid w:val="00A310E6"/>
    <w:rsid w:val="00A32FC4"/>
    <w:rsid w:val="00A3448A"/>
    <w:rsid w:val="00A36297"/>
    <w:rsid w:val="00A37DC3"/>
    <w:rsid w:val="00A41E2B"/>
    <w:rsid w:val="00A435AB"/>
    <w:rsid w:val="00A4414A"/>
    <w:rsid w:val="00A441E6"/>
    <w:rsid w:val="00A45B74"/>
    <w:rsid w:val="00A52E1D"/>
    <w:rsid w:val="00A61499"/>
    <w:rsid w:val="00A62A77"/>
    <w:rsid w:val="00A63483"/>
    <w:rsid w:val="00A648D7"/>
    <w:rsid w:val="00A657D7"/>
    <w:rsid w:val="00A660AC"/>
    <w:rsid w:val="00A67E6C"/>
    <w:rsid w:val="00A71B99"/>
    <w:rsid w:val="00A739D0"/>
    <w:rsid w:val="00A761D4"/>
    <w:rsid w:val="00A77310"/>
    <w:rsid w:val="00A77EC4"/>
    <w:rsid w:val="00A8053A"/>
    <w:rsid w:val="00A84E8D"/>
    <w:rsid w:val="00A87315"/>
    <w:rsid w:val="00A92260"/>
    <w:rsid w:val="00A92879"/>
    <w:rsid w:val="00A9442A"/>
    <w:rsid w:val="00AA016F"/>
    <w:rsid w:val="00AA1ED6"/>
    <w:rsid w:val="00AA4888"/>
    <w:rsid w:val="00AA51D6"/>
    <w:rsid w:val="00AA64FF"/>
    <w:rsid w:val="00AB0BC8"/>
    <w:rsid w:val="00AB11CA"/>
    <w:rsid w:val="00AB14D9"/>
    <w:rsid w:val="00AB445C"/>
    <w:rsid w:val="00AB4AB8"/>
    <w:rsid w:val="00AB655E"/>
    <w:rsid w:val="00AC007F"/>
    <w:rsid w:val="00AC1A2A"/>
    <w:rsid w:val="00AC2ECD"/>
    <w:rsid w:val="00AC3119"/>
    <w:rsid w:val="00AC3291"/>
    <w:rsid w:val="00AC49FB"/>
    <w:rsid w:val="00AC4FC6"/>
    <w:rsid w:val="00AC5A10"/>
    <w:rsid w:val="00AC74ED"/>
    <w:rsid w:val="00AD0AA3"/>
    <w:rsid w:val="00AD3F94"/>
    <w:rsid w:val="00AD4A5A"/>
    <w:rsid w:val="00AD64B8"/>
    <w:rsid w:val="00AE27AC"/>
    <w:rsid w:val="00AE40E0"/>
    <w:rsid w:val="00AE41F1"/>
    <w:rsid w:val="00AE4DBA"/>
    <w:rsid w:val="00AE4F07"/>
    <w:rsid w:val="00AE7B77"/>
    <w:rsid w:val="00AF0880"/>
    <w:rsid w:val="00AF134D"/>
    <w:rsid w:val="00AF1C5D"/>
    <w:rsid w:val="00AF3CFC"/>
    <w:rsid w:val="00AF42D7"/>
    <w:rsid w:val="00AF66C2"/>
    <w:rsid w:val="00B006FE"/>
    <w:rsid w:val="00B007CB"/>
    <w:rsid w:val="00B02133"/>
    <w:rsid w:val="00B02AA9"/>
    <w:rsid w:val="00B02B75"/>
    <w:rsid w:val="00B02FA3"/>
    <w:rsid w:val="00B0370B"/>
    <w:rsid w:val="00B05084"/>
    <w:rsid w:val="00B06A22"/>
    <w:rsid w:val="00B07745"/>
    <w:rsid w:val="00B157F9"/>
    <w:rsid w:val="00B166ED"/>
    <w:rsid w:val="00B20256"/>
    <w:rsid w:val="00B20712"/>
    <w:rsid w:val="00B20D09"/>
    <w:rsid w:val="00B222BA"/>
    <w:rsid w:val="00B22F85"/>
    <w:rsid w:val="00B26127"/>
    <w:rsid w:val="00B2763F"/>
    <w:rsid w:val="00B27AAC"/>
    <w:rsid w:val="00B30929"/>
    <w:rsid w:val="00B36286"/>
    <w:rsid w:val="00B372AA"/>
    <w:rsid w:val="00B40445"/>
    <w:rsid w:val="00B409E0"/>
    <w:rsid w:val="00B41888"/>
    <w:rsid w:val="00B4194F"/>
    <w:rsid w:val="00B45A52"/>
    <w:rsid w:val="00B46175"/>
    <w:rsid w:val="00B464F5"/>
    <w:rsid w:val="00B5236B"/>
    <w:rsid w:val="00B548B7"/>
    <w:rsid w:val="00B54B2B"/>
    <w:rsid w:val="00B54DC0"/>
    <w:rsid w:val="00B54EA1"/>
    <w:rsid w:val="00B621D2"/>
    <w:rsid w:val="00B66185"/>
    <w:rsid w:val="00B664C7"/>
    <w:rsid w:val="00B739F6"/>
    <w:rsid w:val="00B748BD"/>
    <w:rsid w:val="00B81A6C"/>
    <w:rsid w:val="00B84C6F"/>
    <w:rsid w:val="00B85DB6"/>
    <w:rsid w:val="00B85DE5"/>
    <w:rsid w:val="00B86495"/>
    <w:rsid w:val="00B86AB5"/>
    <w:rsid w:val="00B90F73"/>
    <w:rsid w:val="00B9319A"/>
    <w:rsid w:val="00B936EF"/>
    <w:rsid w:val="00B93B59"/>
    <w:rsid w:val="00B9406A"/>
    <w:rsid w:val="00B94E80"/>
    <w:rsid w:val="00B972BD"/>
    <w:rsid w:val="00BA2280"/>
    <w:rsid w:val="00BA2A08"/>
    <w:rsid w:val="00BA3EFE"/>
    <w:rsid w:val="00BA56D2"/>
    <w:rsid w:val="00BA76E0"/>
    <w:rsid w:val="00BB2A25"/>
    <w:rsid w:val="00BB51E9"/>
    <w:rsid w:val="00BB6676"/>
    <w:rsid w:val="00BC0FDC"/>
    <w:rsid w:val="00BC3053"/>
    <w:rsid w:val="00BC4046"/>
    <w:rsid w:val="00BC4D2E"/>
    <w:rsid w:val="00BD48AC"/>
    <w:rsid w:val="00BD5F1A"/>
    <w:rsid w:val="00BE1234"/>
    <w:rsid w:val="00BE1D5D"/>
    <w:rsid w:val="00BE2FA6"/>
    <w:rsid w:val="00BE333F"/>
    <w:rsid w:val="00BE7406"/>
    <w:rsid w:val="00BE7603"/>
    <w:rsid w:val="00BF3279"/>
    <w:rsid w:val="00BF629B"/>
    <w:rsid w:val="00BF74C7"/>
    <w:rsid w:val="00BF78F3"/>
    <w:rsid w:val="00BF7F97"/>
    <w:rsid w:val="00C015F1"/>
    <w:rsid w:val="00C01F33"/>
    <w:rsid w:val="00C026A4"/>
    <w:rsid w:val="00C02CC6"/>
    <w:rsid w:val="00C040F7"/>
    <w:rsid w:val="00C044AB"/>
    <w:rsid w:val="00C05706"/>
    <w:rsid w:val="00C05B81"/>
    <w:rsid w:val="00C06FB6"/>
    <w:rsid w:val="00C07377"/>
    <w:rsid w:val="00C10478"/>
    <w:rsid w:val="00C11AD9"/>
    <w:rsid w:val="00C12107"/>
    <w:rsid w:val="00C12AA1"/>
    <w:rsid w:val="00C14D4B"/>
    <w:rsid w:val="00C154BB"/>
    <w:rsid w:val="00C213F9"/>
    <w:rsid w:val="00C21B40"/>
    <w:rsid w:val="00C24D16"/>
    <w:rsid w:val="00C261E6"/>
    <w:rsid w:val="00C279B5"/>
    <w:rsid w:val="00C27C45"/>
    <w:rsid w:val="00C30A8F"/>
    <w:rsid w:val="00C31378"/>
    <w:rsid w:val="00C3271A"/>
    <w:rsid w:val="00C34744"/>
    <w:rsid w:val="00C34FE1"/>
    <w:rsid w:val="00C3719D"/>
    <w:rsid w:val="00C37CB2"/>
    <w:rsid w:val="00C40400"/>
    <w:rsid w:val="00C42689"/>
    <w:rsid w:val="00C42FFC"/>
    <w:rsid w:val="00C45D2B"/>
    <w:rsid w:val="00C473A5"/>
    <w:rsid w:val="00C504DC"/>
    <w:rsid w:val="00C54995"/>
    <w:rsid w:val="00C54D41"/>
    <w:rsid w:val="00C5685B"/>
    <w:rsid w:val="00C602E1"/>
    <w:rsid w:val="00C60783"/>
    <w:rsid w:val="00C616DE"/>
    <w:rsid w:val="00C622B7"/>
    <w:rsid w:val="00C64672"/>
    <w:rsid w:val="00C651D2"/>
    <w:rsid w:val="00C67491"/>
    <w:rsid w:val="00C6799E"/>
    <w:rsid w:val="00C70697"/>
    <w:rsid w:val="00C72093"/>
    <w:rsid w:val="00C72EF4"/>
    <w:rsid w:val="00C744FE"/>
    <w:rsid w:val="00C75D2F"/>
    <w:rsid w:val="00C767BE"/>
    <w:rsid w:val="00C76E3C"/>
    <w:rsid w:val="00C81568"/>
    <w:rsid w:val="00C86074"/>
    <w:rsid w:val="00C87C9A"/>
    <w:rsid w:val="00C90272"/>
    <w:rsid w:val="00C9027A"/>
    <w:rsid w:val="00C9068E"/>
    <w:rsid w:val="00C92F6B"/>
    <w:rsid w:val="00C93814"/>
    <w:rsid w:val="00C93C4B"/>
    <w:rsid w:val="00C944AB"/>
    <w:rsid w:val="00C95B40"/>
    <w:rsid w:val="00C97FA8"/>
    <w:rsid w:val="00CA1ED8"/>
    <w:rsid w:val="00CA4C28"/>
    <w:rsid w:val="00CA6669"/>
    <w:rsid w:val="00CB1F63"/>
    <w:rsid w:val="00CB21E3"/>
    <w:rsid w:val="00CB7170"/>
    <w:rsid w:val="00CC040E"/>
    <w:rsid w:val="00CC0BF9"/>
    <w:rsid w:val="00CC0FF5"/>
    <w:rsid w:val="00CC111F"/>
    <w:rsid w:val="00CC2011"/>
    <w:rsid w:val="00CC3EA0"/>
    <w:rsid w:val="00CC7B45"/>
    <w:rsid w:val="00CD1188"/>
    <w:rsid w:val="00CD2ED1"/>
    <w:rsid w:val="00CD337B"/>
    <w:rsid w:val="00CE03CA"/>
    <w:rsid w:val="00CE0424"/>
    <w:rsid w:val="00CE7561"/>
    <w:rsid w:val="00CE79D9"/>
    <w:rsid w:val="00CF09F2"/>
    <w:rsid w:val="00CF0CAC"/>
    <w:rsid w:val="00CF1354"/>
    <w:rsid w:val="00CF2808"/>
    <w:rsid w:val="00CF3B1F"/>
    <w:rsid w:val="00CF3BF6"/>
    <w:rsid w:val="00CF625B"/>
    <w:rsid w:val="00CF687E"/>
    <w:rsid w:val="00D02A87"/>
    <w:rsid w:val="00D0349B"/>
    <w:rsid w:val="00D065AA"/>
    <w:rsid w:val="00D10249"/>
    <w:rsid w:val="00D115C3"/>
    <w:rsid w:val="00D11897"/>
    <w:rsid w:val="00D13135"/>
    <w:rsid w:val="00D13E4E"/>
    <w:rsid w:val="00D239A7"/>
    <w:rsid w:val="00D23F47"/>
    <w:rsid w:val="00D24731"/>
    <w:rsid w:val="00D30BC2"/>
    <w:rsid w:val="00D32BC8"/>
    <w:rsid w:val="00D34008"/>
    <w:rsid w:val="00D36E71"/>
    <w:rsid w:val="00D37D87"/>
    <w:rsid w:val="00D40B33"/>
    <w:rsid w:val="00D41E5A"/>
    <w:rsid w:val="00D4318F"/>
    <w:rsid w:val="00D438BF"/>
    <w:rsid w:val="00D440F8"/>
    <w:rsid w:val="00D44889"/>
    <w:rsid w:val="00D45758"/>
    <w:rsid w:val="00D509B5"/>
    <w:rsid w:val="00D529F0"/>
    <w:rsid w:val="00D546FF"/>
    <w:rsid w:val="00D550BC"/>
    <w:rsid w:val="00D5555A"/>
    <w:rsid w:val="00D55AD5"/>
    <w:rsid w:val="00D576CA"/>
    <w:rsid w:val="00D61AF5"/>
    <w:rsid w:val="00D61EB0"/>
    <w:rsid w:val="00D623B9"/>
    <w:rsid w:val="00D652B5"/>
    <w:rsid w:val="00D66155"/>
    <w:rsid w:val="00D667FA"/>
    <w:rsid w:val="00D708B0"/>
    <w:rsid w:val="00D77141"/>
    <w:rsid w:val="00D77552"/>
    <w:rsid w:val="00D77B1D"/>
    <w:rsid w:val="00D8021F"/>
    <w:rsid w:val="00D80383"/>
    <w:rsid w:val="00D80638"/>
    <w:rsid w:val="00D823C6"/>
    <w:rsid w:val="00D8298E"/>
    <w:rsid w:val="00D8327F"/>
    <w:rsid w:val="00D86CA3"/>
    <w:rsid w:val="00D871CE"/>
    <w:rsid w:val="00D918B7"/>
    <w:rsid w:val="00D9196D"/>
    <w:rsid w:val="00D91A56"/>
    <w:rsid w:val="00D91BBA"/>
    <w:rsid w:val="00D92982"/>
    <w:rsid w:val="00D977DE"/>
    <w:rsid w:val="00DA305E"/>
    <w:rsid w:val="00DA5417"/>
    <w:rsid w:val="00DA56E8"/>
    <w:rsid w:val="00DB0A9F"/>
    <w:rsid w:val="00DB1406"/>
    <w:rsid w:val="00DB23B4"/>
    <w:rsid w:val="00DB377D"/>
    <w:rsid w:val="00DB3C18"/>
    <w:rsid w:val="00DC2D36"/>
    <w:rsid w:val="00DC3B53"/>
    <w:rsid w:val="00DC53EF"/>
    <w:rsid w:val="00DC734D"/>
    <w:rsid w:val="00DC7BA4"/>
    <w:rsid w:val="00DD07A2"/>
    <w:rsid w:val="00DD115E"/>
    <w:rsid w:val="00DD1EDC"/>
    <w:rsid w:val="00DD2C88"/>
    <w:rsid w:val="00DD3FC4"/>
    <w:rsid w:val="00DE019D"/>
    <w:rsid w:val="00DE2496"/>
    <w:rsid w:val="00DE2C6B"/>
    <w:rsid w:val="00DE45C6"/>
    <w:rsid w:val="00DE5608"/>
    <w:rsid w:val="00DE58D0"/>
    <w:rsid w:val="00DE5997"/>
    <w:rsid w:val="00DE62E6"/>
    <w:rsid w:val="00DE654F"/>
    <w:rsid w:val="00DF0B6E"/>
    <w:rsid w:val="00DF15E0"/>
    <w:rsid w:val="00DF37A0"/>
    <w:rsid w:val="00E110E7"/>
    <w:rsid w:val="00E11B20"/>
    <w:rsid w:val="00E17FA2"/>
    <w:rsid w:val="00E21C9E"/>
    <w:rsid w:val="00E22330"/>
    <w:rsid w:val="00E22AA7"/>
    <w:rsid w:val="00E25714"/>
    <w:rsid w:val="00E277F5"/>
    <w:rsid w:val="00E30B5A"/>
    <w:rsid w:val="00E3116F"/>
    <w:rsid w:val="00E3123D"/>
    <w:rsid w:val="00E31461"/>
    <w:rsid w:val="00E31D43"/>
    <w:rsid w:val="00E32608"/>
    <w:rsid w:val="00E34188"/>
    <w:rsid w:val="00E34B6E"/>
    <w:rsid w:val="00E35559"/>
    <w:rsid w:val="00E3723A"/>
    <w:rsid w:val="00E37860"/>
    <w:rsid w:val="00E430F2"/>
    <w:rsid w:val="00E446F1"/>
    <w:rsid w:val="00E46886"/>
    <w:rsid w:val="00E47AEF"/>
    <w:rsid w:val="00E53B75"/>
    <w:rsid w:val="00E54E3B"/>
    <w:rsid w:val="00E55485"/>
    <w:rsid w:val="00E57565"/>
    <w:rsid w:val="00E63838"/>
    <w:rsid w:val="00E64434"/>
    <w:rsid w:val="00E67C51"/>
    <w:rsid w:val="00E72EFC"/>
    <w:rsid w:val="00E758EC"/>
    <w:rsid w:val="00E76875"/>
    <w:rsid w:val="00E775EA"/>
    <w:rsid w:val="00E8234C"/>
    <w:rsid w:val="00E83AA9"/>
    <w:rsid w:val="00E85928"/>
    <w:rsid w:val="00E87598"/>
    <w:rsid w:val="00E87822"/>
    <w:rsid w:val="00E90395"/>
    <w:rsid w:val="00E904F8"/>
    <w:rsid w:val="00E905F2"/>
    <w:rsid w:val="00E90E49"/>
    <w:rsid w:val="00E917F9"/>
    <w:rsid w:val="00E9291C"/>
    <w:rsid w:val="00E93FFE"/>
    <w:rsid w:val="00E94F8A"/>
    <w:rsid w:val="00EA06DA"/>
    <w:rsid w:val="00EA242F"/>
    <w:rsid w:val="00EA424A"/>
    <w:rsid w:val="00EA4D94"/>
    <w:rsid w:val="00EA7A41"/>
    <w:rsid w:val="00EB077B"/>
    <w:rsid w:val="00EB11BB"/>
    <w:rsid w:val="00EB48F9"/>
    <w:rsid w:val="00EB4EA2"/>
    <w:rsid w:val="00EB6788"/>
    <w:rsid w:val="00EB6FF0"/>
    <w:rsid w:val="00EB74C7"/>
    <w:rsid w:val="00EB7FF7"/>
    <w:rsid w:val="00EC24D5"/>
    <w:rsid w:val="00EC27C6"/>
    <w:rsid w:val="00EC2AFB"/>
    <w:rsid w:val="00EC3178"/>
    <w:rsid w:val="00EC4207"/>
    <w:rsid w:val="00EC4447"/>
    <w:rsid w:val="00EC5629"/>
    <w:rsid w:val="00EC5653"/>
    <w:rsid w:val="00EC71CE"/>
    <w:rsid w:val="00ED1006"/>
    <w:rsid w:val="00ED2327"/>
    <w:rsid w:val="00ED5CD0"/>
    <w:rsid w:val="00EE26DC"/>
    <w:rsid w:val="00EE36D8"/>
    <w:rsid w:val="00EE4696"/>
    <w:rsid w:val="00EF18FE"/>
    <w:rsid w:val="00EF5787"/>
    <w:rsid w:val="00EF60D0"/>
    <w:rsid w:val="00EF79E3"/>
    <w:rsid w:val="00F013E7"/>
    <w:rsid w:val="00F02299"/>
    <w:rsid w:val="00F03A2B"/>
    <w:rsid w:val="00F03E0E"/>
    <w:rsid w:val="00F0528D"/>
    <w:rsid w:val="00F06C67"/>
    <w:rsid w:val="00F06DFD"/>
    <w:rsid w:val="00F071D1"/>
    <w:rsid w:val="00F07533"/>
    <w:rsid w:val="00F10629"/>
    <w:rsid w:val="00F12D86"/>
    <w:rsid w:val="00F15755"/>
    <w:rsid w:val="00F15A93"/>
    <w:rsid w:val="00F15FA5"/>
    <w:rsid w:val="00F17CF7"/>
    <w:rsid w:val="00F17E6E"/>
    <w:rsid w:val="00F209B7"/>
    <w:rsid w:val="00F235D0"/>
    <w:rsid w:val="00F2376F"/>
    <w:rsid w:val="00F23F9F"/>
    <w:rsid w:val="00F243D8"/>
    <w:rsid w:val="00F26C73"/>
    <w:rsid w:val="00F27536"/>
    <w:rsid w:val="00F30828"/>
    <w:rsid w:val="00F313D6"/>
    <w:rsid w:val="00F36C4C"/>
    <w:rsid w:val="00F374D3"/>
    <w:rsid w:val="00F40F0C"/>
    <w:rsid w:val="00F4766C"/>
    <w:rsid w:val="00F5060E"/>
    <w:rsid w:val="00F507D1"/>
    <w:rsid w:val="00F519CE"/>
    <w:rsid w:val="00F51ADA"/>
    <w:rsid w:val="00F54884"/>
    <w:rsid w:val="00F55008"/>
    <w:rsid w:val="00F60203"/>
    <w:rsid w:val="00F607C5"/>
    <w:rsid w:val="00F60DEA"/>
    <w:rsid w:val="00F6302A"/>
    <w:rsid w:val="00F63950"/>
    <w:rsid w:val="00F64C2B"/>
    <w:rsid w:val="00F651BE"/>
    <w:rsid w:val="00F67F53"/>
    <w:rsid w:val="00F703BE"/>
    <w:rsid w:val="00F71F69"/>
    <w:rsid w:val="00F72B72"/>
    <w:rsid w:val="00F74BB9"/>
    <w:rsid w:val="00F75582"/>
    <w:rsid w:val="00F76A0E"/>
    <w:rsid w:val="00F76EFA"/>
    <w:rsid w:val="00F7704A"/>
    <w:rsid w:val="00F804BE"/>
    <w:rsid w:val="00F817CE"/>
    <w:rsid w:val="00F8255A"/>
    <w:rsid w:val="00F8456C"/>
    <w:rsid w:val="00F859D8"/>
    <w:rsid w:val="00F868F5"/>
    <w:rsid w:val="00F90000"/>
    <w:rsid w:val="00F9056A"/>
    <w:rsid w:val="00F90F8D"/>
    <w:rsid w:val="00F91C7F"/>
    <w:rsid w:val="00F92782"/>
    <w:rsid w:val="00F93AA9"/>
    <w:rsid w:val="00F96985"/>
    <w:rsid w:val="00F97838"/>
    <w:rsid w:val="00FA2BB3"/>
    <w:rsid w:val="00FA54CC"/>
    <w:rsid w:val="00FA73A9"/>
    <w:rsid w:val="00FB17C0"/>
    <w:rsid w:val="00FB1BEF"/>
    <w:rsid w:val="00FB39ED"/>
    <w:rsid w:val="00FB494C"/>
    <w:rsid w:val="00FB4C80"/>
    <w:rsid w:val="00FB5CF2"/>
    <w:rsid w:val="00FB6A6A"/>
    <w:rsid w:val="00FC7429"/>
    <w:rsid w:val="00FC76CA"/>
    <w:rsid w:val="00FD07F6"/>
    <w:rsid w:val="00FD1EC8"/>
    <w:rsid w:val="00FD2CEE"/>
    <w:rsid w:val="00FD47ED"/>
    <w:rsid w:val="00FD5686"/>
    <w:rsid w:val="00FD74DB"/>
    <w:rsid w:val="00FD7660"/>
    <w:rsid w:val="00FE0655"/>
    <w:rsid w:val="00FE2365"/>
    <w:rsid w:val="00FE2E83"/>
    <w:rsid w:val="00FE37D7"/>
    <w:rsid w:val="00FE4C7B"/>
    <w:rsid w:val="00FE545F"/>
    <w:rsid w:val="00FE7336"/>
    <w:rsid w:val="00FE787C"/>
    <w:rsid w:val="00FE7F63"/>
    <w:rsid w:val="00FF45A5"/>
    <w:rsid w:val="00FF51AC"/>
    <w:rsid w:val="00FF5247"/>
    <w:rsid w:val="00FF599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EBAC206A-5C68-4AFB-BEBE-5F9A98136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4423"/>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Bodyc">
    <w:name w:val="Bodyc"/>
    <w:basedOn w:val="Normal"/>
    <w:qFormat/>
    <w:rsid w:val="009B0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166381">
      <w:bodyDiv w:val="1"/>
      <w:marLeft w:val="0"/>
      <w:marRight w:val="0"/>
      <w:marTop w:val="0"/>
      <w:marBottom w:val="0"/>
      <w:divBdr>
        <w:top w:val="none" w:sz="0" w:space="0" w:color="auto"/>
        <w:left w:val="none" w:sz="0" w:space="0" w:color="auto"/>
        <w:bottom w:val="none" w:sz="0" w:space="0" w:color="auto"/>
        <w:right w:val="none" w:sz="0" w:space="0" w:color="auto"/>
      </w:divBdr>
    </w:div>
    <w:div w:id="199040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CB5A3-F789-43A5-92D9-A9B18F5978F5}"/>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purl.org/dc/terms/"/>
    <ds:schemaRef ds:uri="2f282d3b-eb4a-4b09-b61f-b9593442e286"/>
    <ds:schemaRef ds:uri="http://schemas.microsoft.com/office/2006/documentManagement/types"/>
    <ds:schemaRef ds:uri="9b239327-9e80-40e4-b1b7-4394fed77a33"/>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E5898CB8-5093-4ED6-BBBA-652D95457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9</Pages>
  <Words>3722</Words>
  <Characters>19470</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23146</CharactersWithSpaces>
  <SharedDoc>false</SharedDoc>
  <HLinks>
    <vt:vector size="48" baseType="variant">
      <vt:variant>
        <vt:i4>1769520</vt:i4>
      </vt:variant>
      <vt:variant>
        <vt:i4>23</vt:i4>
      </vt:variant>
      <vt:variant>
        <vt:i4>0</vt:i4>
      </vt:variant>
      <vt:variant>
        <vt:i4>5</vt:i4>
      </vt:variant>
      <vt:variant>
        <vt:lpwstr/>
      </vt:variant>
      <vt:variant>
        <vt:lpwstr>_Toc37319298</vt:lpwstr>
      </vt:variant>
      <vt:variant>
        <vt:i4>1310768</vt:i4>
      </vt:variant>
      <vt:variant>
        <vt:i4>20</vt:i4>
      </vt:variant>
      <vt:variant>
        <vt:i4>0</vt:i4>
      </vt:variant>
      <vt:variant>
        <vt:i4>5</vt:i4>
      </vt:variant>
      <vt:variant>
        <vt:lpwstr/>
      </vt:variant>
      <vt:variant>
        <vt:lpwstr>_Toc37319297</vt:lpwstr>
      </vt:variant>
      <vt:variant>
        <vt:i4>1376304</vt:i4>
      </vt:variant>
      <vt:variant>
        <vt:i4>17</vt:i4>
      </vt:variant>
      <vt:variant>
        <vt:i4>0</vt:i4>
      </vt:variant>
      <vt:variant>
        <vt:i4>5</vt:i4>
      </vt:variant>
      <vt:variant>
        <vt:lpwstr/>
      </vt:variant>
      <vt:variant>
        <vt:lpwstr>_Toc37319296</vt:lpwstr>
      </vt:variant>
      <vt:variant>
        <vt:i4>1441840</vt:i4>
      </vt:variant>
      <vt:variant>
        <vt:i4>14</vt:i4>
      </vt:variant>
      <vt:variant>
        <vt:i4>0</vt:i4>
      </vt:variant>
      <vt:variant>
        <vt:i4>5</vt:i4>
      </vt:variant>
      <vt:variant>
        <vt:lpwstr/>
      </vt:variant>
      <vt:variant>
        <vt:lpwstr>_Toc37319295</vt:lpwstr>
      </vt:variant>
      <vt:variant>
        <vt:i4>1507376</vt:i4>
      </vt:variant>
      <vt:variant>
        <vt:i4>11</vt:i4>
      </vt:variant>
      <vt:variant>
        <vt:i4>0</vt:i4>
      </vt:variant>
      <vt:variant>
        <vt:i4>5</vt:i4>
      </vt:variant>
      <vt:variant>
        <vt:lpwstr/>
      </vt:variant>
      <vt:variant>
        <vt:lpwstr>_Toc37319294</vt:lpwstr>
      </vt:variant>
      <vt:variant>
        <vt:i4>1048624</vt:i4>
      </vt:variant>
      <vt:variant>
        <vt:i4>8</vt:i4>
      </vt:variant>
      <vt:variant>
        <vt:i4>0</vt:i4>
      </vt:variant>
      <vt:variant>
        <vt:i4>5</vt:i4>
      </vt:variant>
      <vt:variant>
        <vt:lpwstr/>
      </vt:variant>
      <vt:variant>
        <vt:lpwstr>_Toc37319293</vt:lpwstr>
      </vt:variant>
      <vt:variant>
        <vt:i4>1114160</vt:i4>
      </vt:variant>
      <vt:variant>
        <vt:i4>5</vt:i4>
      </vt:variant>
      <vt:variant>
        <vt:i4>0</vt:i4>
      </vt:variant>
      <vt:variant>
        <vt:i4>5</vt:i4>
      </vt:variant>
      <vt:variant>
        <vt:lpwstr/>
      </vt:variant>
      <vt:variant>
        <vt:lpwstr>_Toc37319292</vt:lpwstr>
      </vt:variant>
      <vt:variant>
        <vt:i4>1179696</vt:i4>
      </vt:variant>
      <vt:variant>
        <vt:i4>2</vt:i4>
      </vt:variant>
      <vt:variant>
        <vt:i4>0</vt:i4>
      </vt:variant>
      <vt:variant>
        <vt:i4>5</vt:i4>
      </vt:variant>
      <vt:variant>
        <vt:lpwstr/>
      </vt:variant>
      <vt:variant>
        <vt:lpwstr>_Toc37319291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124</cp:revision>
  <cp:lastPrinted>2008-02-01T01:09:00Z</cp:lastPrinted>
  <dcterms:created xsi:type="dcterms:W3CDTF">2020-04-07T22:54:00Z</dcterms:created>
  <dcterms:modified xsi:type="dcterms:W3CDTF">2020-04-09T19:47:00Z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